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keepNext w:val="true"/>
        <w:widowControl/>
        <w:numPr>
          <w:ilvl w:val="0"/>
          <w:numId w:val="0"/>
        </w:numPr>
        <w:ind w:hanging="0" w:left="0"/>
        <w:jc w:val="center"/>
        <w:outlineLvl w:val="0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>ПОЯСНИТЕЛЬНАЯ ЗАПИСКА</w:t>
      </w:r>
    </w:p>
    <w:p>
      <w:pPr>
        <w:pStyle w:val="Normal"/>
        <w:widowControl/>
        <w:jc w:val="center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 xml:space="preserve">к отчету  об исполнении бюджета </w:t>
      </w:r>
    </w:p>
    <w:p>
      <w:pPr>
        <w:pStyle w:val="Normal"/>
        <w:widowControl/>
        <w:jc w:val="center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>Тяжинского муниципального округа</w:t>
      </w:r>
    </w:p>
    <w:p>
      <w:pPr>
        <w:pStyle w:val="Normal"/>
        <w:widowControl/>
        <w:jc w:val="center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>за 9 месяцев 2025 года</w:t>
      </w:r>
    </w:p>
    <w:p>
      <w:pPr>
        <w:pStyle w:val="Normal"/>
        <w:widowControl/>
        <w:jc w:val="both"/>
        <w:rPr>
          <w:sz w:val="28"/>
          <w:szCs w:val="24"/>
        </w:rPr>
      </w:pPr>
      <w:r>
        <w:rPr>
          <w:sz w:val="28"/>
          <w:szCs w:val="24"/>
        </w:rPr>
      </w:r>
    </w:p>
    <w:p>
      <w:pPr>
        <w:pStyle w:val="Normal"/>
        <w:keepNext w:val="true"/>
        <w:widowControl/>
        <w:numPr>
          <w:ilvl w:val="0"/>
          <w:numId w:val="0"/>
        </w:numPr>
        <w:ind w:hanging="0" w:left="360"/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Исполнение бюджета Тяжинского муниципального округа по доходам</w:t>
      </w:r>
    </w:p>
    <w:p>
      <w:pPr>
        <w:pStyle w:val="Normal"/>
        <w:widowControl/>
        <w:rPr>
          <w:sz w:val="24"/>
          <w:szCs w:val="24"/>
          <w:shd w:fill="FFFF00" w:val="clear"/>
        </w:rPr>
      </w:pPr>
      <w:r>
        <w:rPr>
          <w:sz w:val="24"/>
          <w:szCs w:val="24"/>
          <w:shd w:fill="FFFF00" w:val="clear"/>
        </w:rPr>
      </w:r>
    </w:p>
    <w:p>
      <w:pPr>
        <w:pStyle w:val="BodyTextIndent2"/>
        <w:tabs>
          <w:tab w:val="clear" w:pos="708"/>
          <w:tab w:val="left" w:pos="0" w:leader="none"/>
        </w:tabs>
        <w:spacing w:lineRule="auto" w:line="240"/>
        <w:jc w:val="both"/>
        <w:rPr>
          <w:sz w:val="28"/>
          <w:szCs w:val="28"/>
          <w:shd w:fill="FFFF00" w:val="clear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  <w:shd w:fill="auto" w:val="clear"/>
        </w:rPr>
        <w:t xml:space="preserve">     </w:t>
      </w:r>
      <w:r>
        <w:rPr>
          <w:color w:val="000000"/>
          <w:sz w:val="28"/>
          <w:szCs w:val="28"/>
          <w:shd w:fill="auto" w:val="clear"/>
        </w:rPr>
        <w:t xml:space="preserve"> </w:t>
      </w:r>
      <w:r>
        <w:rPr>
          <w:color w:val="000000"/>
          <w:sz w:val="28"/>
          <w:szCs w:val="28"/>
          <w:shd w:fill="auto" w:val="clear"/>
        </w:rPr>
        <w:t xml:space="preserve">За 9 месяцев 2025 года в бюджет Тяжинского муниципального округа поступление доходов составило  1 483 876 898,3 руб.,  что составило 73,7 % к годовому плану.  </w:t>
      </w:r>
    </w:p>
    <w:p>
      <w:pPr>
        <w:pStyle w:val="Normal"/>
        <w:widowControl/>
        <w:tabs>
          <w:tab w:val="clear" w:pos="708"/>
          <w:tab w:val="left" w:pos="0" w:leader="none"/>
          <w:tab w:val="left" w:pos="540" w:leader="none"/>
        </w:tabs>
        <w:spacing w:before="0" w:after="120"/>
        <w:ind w:left="283"/>
        <w:jc w:val="both"/>
        <w:rPr>
          <w:highlight w:val="none"/>
          <w:shd w:fill="FFFF00" w:val="clear"/>
        </w:rPr>
      </w:pPr>
      <w:r>
        <w:rPr>
          <w:color w:val="000000"/>
          <w:sz w:val="28"/>
          <w:szCs w:val="28"/>
          <w:shd w:fill="auto" w:val="clear"/>
        </w:rPr>
        <w:t xml:space="preserve">         </w:t>
      </w:r>
      <w:r>
        <w:rPr>
          <w:color w:val="000000"/>
          <w:sz w:val="28"/>
          <w:szCs w:val="28"/>
          <w:shd w:fill="auto" w:val="clear"/>
        </w:rPr>
        <w:t xml:space="preserve">По налоговым и неналоговым доходам  при плане – 322 757 237,10 руб.  поступило 241 164 899,52 руб., исполнение составило  74,7%  к годовому плану. </w:t>
      </w:r>
      <w:r>
        <w:rPr>
          <w:color w:val="000000"/>
          <w:sz w:val="28"/>
          <w:szCs w:val="28"/>
          <w:shd w:fill="FFFF00" w:val="clear"/>
        </w:rPr>
        <w:t xml:space="preserve"> </w:t>
      </w:r>
    </w:p>
    <w:p>
      <w:pPr>
        <w:pStyle w:val="Normal"/>
        <w:widowControl/>
        <w:spacing w:before="0" w:after="120"/>
        <w:ind w:left="283"/>
        <w:jc w:val="both"/>
        <w:rPr>
          <w:highlight w:val="none"/>
          <w:shd w:fill="auto" w:val="clear"/>
        </w:rPr>
      </w:pPr>
      <w:r>
        <w:rPr>
          <w:color w:val="000000"/>
          <w:sz w:val="28"/>
          <w:szCs w:val="28"/>
          <w:shd w:fill="auto" w:val="clear"/>
        </w:rPr>
        <w:t xml:space="preserve">         </w:t>
      </w:r>
      <w:r>
        <w:rPr>
          <w:color w:val="000000"/>
          <w:sz w:val="28"/>
          <w:szCs w:val="28"/>
          <w:shd w:fill="auto" w:val="clear"/>
        </w:rPr>
        <w:t>Поступление в местный бюджет обеспечено, в основном, за счет:</w:t>
      </w:r>
    </w:p>
    <w:p>
      <w:pPr>
        <w:pStyle w:val="Normal"/>
        <w:widowControl/>
        <w:tabs>
          <w:tab w:val="clear" w:pos="708"/>
          <w:tab w:val="left" w:pos="0" w:leader="none"/>
        </w:tabs>
        <w:spacing w:before="0" w:after="120"/>
        <w:ind w:firstLine="284" w:left="283"/>
        <w:jc w:val="both"/>
        <w:rPr>
          <w:highlight w:val="none"/>
          <w:shd w:fill="auto" w:val="clear"/>
        </w:rPr>
      </w:pPr>
      <w:r>
        <w:rPr>
          <w:color w:val="000000"/>
          <w:sz w:val="28"/>
          <w:szCs w:val="28"/>
          <w:shd w:fill="auto" w:val="clear"/>
        </w:rPr>
        <w:t>-   налога на доходы физических лиц (128 495 730,63 руб. или 53,3% от суммы налоговых и неналоговых доходов);</w:t>
      </w:r>
    </w:p>
    <w:p>
      <w:pPr>
        <w:pStyle w:val="Normal"/>
        <w:widowControl/>
        <w:tabs>
          <w:tab w:val="clear" w:pos="708"/>
          <w:tab w:val="left" w:pos="0" w:leader="none"/>
        </w:tabs>
        <w:spacing w:before="0" w:after="120"/>
        <w:ind w:firstLine="284" w:left="283"/>
        <w:jc w:val="both"/>
        <w:rPr>
          <w:highlight w:val="none"/>
          <w:shd w:fill="auto" w:val="clear"/>
        </w:rPr>
      </w:pPr>
      <w:r>
        <w:rPr>
          <w:color w:val="000000"/>
          <w:sz w:val="28"/>
          <w:szCs w:val="28"/>
          <w:shd w:fill="auto" w:val="clear"/>
        </w:rPr>
        <w:t>- налога, взимаемого в связи с применением упрощенной системы налогообложения (31 345 474,64 руб. или 13,0%);</w:t>
      </w:r>
    </w:p>
    <w:p>
      <w:pPr>
        <w:pStyle w:val="Normal"/>
        <w:widowControl/>
        <w:tabs>
          <w:tab w:val="clear" w:pos="708"/>
          <w:tab w:val="left" w:pos="0" w:leader="none"/>
        </w:tabs>
        <w:spacing w:before="0" w:after="120"/>
        <w:ind w:firstLine="284" w:left="283"/>
        <w:jc w:val="both"/>
        <w:rPr>
          <w:highlight w:val="none"/>
          <w:shd w:fill="auto" w:val="clear"/>
        </w:rPr>
      </w:pPr>
      <w:r>
        <w:rPr>
          <w:color w:val="000000"/>
          <w:sz w:val="28"/>
          <w:szCs w:val="28"/>
          <w:shd w:fill="auto" w:val="clear"/>
        </w:rPr>
        <w:t>- доходов от использования имущества, находящегося в государственной и муниципальной собственности (24 352 221,34 руб. или 10,1%);</w:t>
      </w:r>
    </w:p>
    <w:p>
      <w:pPr>
        <w:pStyle w:val="Normal"/>
        <w:widowControl/>
        <w:tabs>
          <w:tab w:val="clear" w:pos="708"/>
          <w:tab w:val="left" w:pos="0" w:leader="none"/>
        </w:tabs>
        <w:spacing w:before="0" w:after="120"/>
        <w:ind w:firstLine="284" w:left="283"/>
        <w:jc w:val="both"/>
        <w:rPr>
          <w:highlight w:val="none"/>
          <w:shd w:fill="auto" w:val="clear"/>
        </w:rPr>
      </w:pPr>
      <w:r>
        <w:rPr>
          <w:color w:val="000000"/>
          <w:sz w:val="28"/>
          <w:szCs w:val="28"/>
          <w:shd w:fill="auto" w:val="clear"/>
        </w:rPr>
        <w:t>-  акцизов на нефтепродукты (20 518 499,05 руб. или 8,5%);</w:t>
      </w:r>
    </w:p>
    <w:p>
      <w:pPr>
        <w:pStyle w:val="Normal"/>
        <w:widowControl/>
        <w:tabs>
          <w:tab w:val="clear" w:pos="708"/>
          <w:tab w:val="left" w:pos="0" w:leader="none"/>
        </w:tabs>
        <w:spacing w:before="0" w:after="120"/>
        <w:ind w:firstLine="284" w:left="283"/>
        <w:jc w:val="both"/>
        <w:rPr>
          <w:highlight w:val="none"/>
          <w:shd w:fill="auto" w:val="clear"/>
        </w:rPr>
      </w:pPr>
      <w:r>
        <w:rPr>
          <w:color w:val="000000"/>
          <w:sz w:val="28"/>
          <w:szCs w:val="28"/>
          <w:shd w:fill="auto" w:val="clear"/>
        </w:rPr>
        <w:t>-  земельного налога (13 644 390,88 руб. или 5,6%);</w:t>
      </w:r>
    </w:p>
    <w:p>
      <w:pPr>
        <w:pStyle w:val="Normal"/>
        <w:widowControl/>
        <w:tabs>
          <w:tab w:val="clear" w:pos="708"/>
          <w:tab w:val="left" w:pos="0" w:leader="none"/>
        </w:tabs>
        <w:spacing w:before="0" w:after="120"/>
        <w:ind w:firstLine="284" w:left="283"/>
        <w:jc w:val="both"/>
        <w:rPr>
          <w:highlight w:val="none"/>
          <w:shd w:fill="auto" w:val="clear"/>
        </w:rPr>
      </w:pPr>
      <w:r>
        <w:rPr>
          <w:color w:val="000000"/>
          <w:sz w:val="28"/>
          <w:szCs w:val="28"/>
          <w:shd w:fill="auto" w:val="clear"/>
        </w:rPr>
        <w:t>-  государственной пошлины (7 319 128,56 руб. или 3,0%);</w:t>
      </w:r>
    </w:p>
    <w:p>
      <w:pPr>
        <w:pStyle w:val="Normal"/>
        <w:widowControl/>
        <w:tabs>
          <w:tab w:val="clear" w:pos="708"/>
          <w:tab w:val="left" w:pos="0" w:leader="none"/>
        </w:tabs>
        <w:spacing w:before="0" w:after="120"/>
        <w:ind w:firstLine="284" w:left="283"/>
        <w:jc w:val="both"/>
        <w:rPr/>
      </w:pPr>
      <w:r>
        <w:rPr>
          <w:color w:val="000000"/>
          <w:sz w:val="28"/>
          <w:szCs w:val="28"/>
          <w:shd w:fill="auto" w:val="clear"/>
        </w:rPr>
        <w:t>-  единого сельскохозяйственного налога (5 394 709 руб. или 2,2%);</w:t>
      </w:r>
    </w:p>
    <w:p>
      <w:pPr>
        <w:pStyle w:val="Normal"/>
        <w:widowControl/>
        <w:tabs>
          <w:tab w:val="clear" w:pos="708"/>
          <w:tab w:val="left" w:pos="0" w:leader="none"/>
        </w:tabs>
        <w:spacing w:before="0" w:after="120"/>
        <w:ind w:firstLine="284" w:left="283"/>
        <w:jc w:val="both"/>
        <w:rPr/>
      </w:pPr>
      <w:r>
        <w:rPr>
          <w:color w:val="000000"/>
          <w:sz w:val="28"/>
          <w:szCs w:val="28"/>
          <w:shd w:fill="auto" w:val="clear"/>
        </w:rPr>
        <w:t>- штрафов, санкций, возмещению ущерба (3 028 295,95 руб. или 1,3%);</w:t>
      </w:r>
    </w:p>
    <w:p>
      <w:pPr>
        <w:pStyle w:val="Normal"/>
        <w:widowControl/>
        <w:tabs>
          <w:tab w:val="clear" w:pos="708"/>
          <w:tab w:val="left" w:pos="0" w:leader="none"/>
        </w:tabs>
        <w:spacing w:before="0" w:after="120"/>
        <w:ind w:firstLine="284" w:left="283"/>
        <w:jc w:val="both"/>
        <w:rPr>
          <w:highlight w:val="none"/>
          <w:shd w:fill="auto" w:val="clear"/>
        </w:rPr>
      </w:pPr>
      <w:r>
        <w:rPr>
          <w:color w:val="000000"/>
          <w:sz w:val="28"/>
          <w:szCs w:val="28"/>
          <w:shd w:fill="auto" w:val="clear"/>
        </w:rPr>
        <w:t>- налога, взимаемого в связи с применением патентной системы налогообложения (2 423 671,57  руб. или 1,0%)</w:t>
      </w:r>
    </w:p>
    <w:p>
      <w:pPr>
        <w:pStyle w:val="Normal"/>
        <w:widowControl/>
        <w:tabs>
          <w:tab w:val="clear" w:pos="708"/>
          <w:tab w:val="left" w:pos="0" w:leader="none"/>
        </w:tabs>
        <w:spacing w:before="0" w:after="120"/>
        <w:ind w:firstLine="284" w:left="283"/>
        <w:jc w:val="both"/>
        <w:rPr>
          <w:color w:val="000000"/>
          <w:sz w:val="28"/>
          <w:szCs w:val="28"/>
          <w:highlight w:val="none"/>
          <w:shd w:fill="FFFF00" w:val="clear"/>
        </w:rPr>
      </w:pPr>
      <w:r>
        <w:rPr>
          <w:color w:val="000000"/>
          <w:sz w:val="28"/>
          <w:szCs w:val="28"/>
          <w:shd w:fill="FFFF00" w:val="clear"/>
        </w:rPr>
      </w:r>
    </w:p>
    <w:p>
      <w:pPr>
        <w:pStyle w:val="Normal"/>
        <w:widowControl/>
        <w:suppressAutoHyphens w:val="true"/>
        <w:overflowPunct w:val="false"/>
        <w:bidi w:val="0"/>
        <w:spacing w:lineRule="auto" w:line="240" w:before="0" w:after="0"/>
        <w:ind w:firstLine="510" w:left="283" w:right="0"/>
        <w:jc w:val="both"/>
        <w:rPr>
          <w:highlight w:val="none"/>
          <w:shd w:fill="auto" w:val="clear"/>
        </w:rPr>
      </w:pPr>
      <w:r>
        <w:rPr>
          <w:color w:val="000000"/>
          <w:sz w:val="28"/>
          <w:szCs w:val="28"/>
          <w:shd w:fill="auto" w:val="clear"/>
        </w:rPr>
        <w:t xml:space="preserve">За 9 месяцев 2025 года в сравнении с тем же периодом 2024 года налоговых и неналоговых доходов поступило </w:t>
      </w:r>
      <w:r>
        <w:rPr>
          <w:bCs/>
          <w:color w:val="000000"/>
          <w:sz w:val="28"/>
          <w:szCs w:val="28"/>
          <w:shd w:fill="auto" w:val="clear"/>
        </w:rPr>
        <w:t>на  30 201 527,47 руб.</w:t>
      </w:r>
      <w:r>
        <w:rPr>
          <w:color w:val="000000"/>
          <w:sz w:val="28"/>
          <w:szCs w:val="28"/>
          <w:shd w:fill="auto" w:val="clear"/>
        </w:rPr>
        <w:t xml:space="preserve"> больше.</w:t>
      </w:r>
    </w:p>
    <w:p>
      <w:pPr>
        <w:pStyle w:val="Normal"/>
        <w:widowControl/>
        <w:ind w:firstLine="540"/>
        <w:jc w:val="both"/>
        <w:rPr>
          <w:color w:val="000000"/>
          <w:sz w:val="28"/>
          <w:szCs w:val="28"/>
          <w:highlight w:val="none"/>
          <w:shd w:fill="FFFF00" w:val="clear"/>
        </w:rPr>
      </w:pPr>
      <w:r>
        <w:rPr>
          <w:color w:val="000000"/>
          <w:sz w:val="28"/>
          <w:szCs w:val="28"/>
          <w:shd w:fill="FFFF00" w:val="clear"/>
        </w:rPr>
      </w:r>
    </w:p>
    <w:p>
      <w:pPr>
        <w:pStyle w:val="Normal"/>
        <w:widowControl/>
        <w:tabs>
          <w:tab w:val="clear" w:pos="708"/>
          <w:tab w:val="left" w:pos="1260" w:leader="none"/>
        </w:tabs>
        <w:ind w:firstLine="540"/>
        <w:jc w:val="both"/>
        <w:rPr>
          <w:highlight w:val="none"/>
          <w:shd w:fill="auto" w:val="clear"/>
        </w:rPr>
      </w:pPr>
      <w:r>
        <w:rPr>
          <w:color w:val="000000"/>
          <w:sz w:val="28"/>
          <w:szCs w:val="28"/>
          <w:shd w:fill="auto" w:val="clear"/>
        </w:rPr>
        <w:t>Увеличение сложилось в основном по следующим видам налогов и платежей:</w:t>
      </w:r>
    </w:p>
    <w:p>
      <w:pPr>
        <w:pStyle w:val="Normal"/>
        <w:widowControl/>
        <w:tabs>
          <w:tab w:val="clear" w:pos="708"/>
          <w:tab w:val="left" w:pos="1250" w:leader="none"/>
        </w:tabs>
        <w:suppressAutoHyphens w:val="true"/>
        <w:overflowPunct w:val="false"/>
        <w:bidi w:val="0"/>
        <w:spacing w:lineRule="auto" w:line="240" w:before="0" w:after="0"/>
        <w:ind w:firstLine="510" w:left="283" w:right="113"/>
        <w:jc w:val="both"/>
        <w:rPr/>
      </w:pPr>
      <w:r>
        <w:rPr>
          <w:color w:val="000000"/>
          <w:sz w:val="28"/>
          <w:szCs w:val="28"/>
          <w:shd w:fill="auto" w:val="clear"/>
        </w:rPr>
        <w:t>- по налогу, взимаемому в связи с применением упрощенной системы налогообложения на 10 655 400,12 руб., в связи с увеличением дифференцированного норматива отчислений в бюджет округа с 57,45% в 2024 году до 70% в 2025 году;</w:t>
      </w:r>
    </w:p>
    <w:p>
      <w:pPr>
        <w:pStyle w:val="ListParagraph"/>
        <w:widowControl/>
        <w:tabs>
          <w:tab w:val="clear" w:pos="708"/>
          <w:tab w:val="left" w:pos="0" w:leader="none"/>
          <w:tab w:val="left" w:pos="567" w:leader="none"/>
        </w:tabs>
        <w:suppressAutoHyphens w:val="true"/>
        <w:overflowPunct w:val="false"/>
        <w:bidi w:val="0"/>
        <w:spacing w:lineRule="auto" w:line="240" w:before="0" w:after="0"/>
        <w:ind w:firstLine="567" w:left="283" w:right="0"/>
        <w:contextualSpacing/>
        <w:jc w:val="both"/>
        <w:rPr>
          <w:highlight w:val="none"/>
          <w:shd w:fill="auto" w:val="clear"/>
        </w:rPr>
      </w:pPr>
      <w:r>
        <w:rPr>
          <w:color w:val="000000"/>
          <w:sz w:val="28"/>
          <w:szCs w:val="28"/>
          <w:shd w:fill="auto" w:val="clear"/>
        </w:rPr>
        <w:t xml:space="preserve">- по налогу на доходы физических лиц на 9 689 250,9 </w:t>
      </w:r>
      <w:r>
        <w:rPr>
          <w:bCs/>
          <w:color w:val="000000"/>
          <w:sz w:val="28"/>
          <w:szCs w:val="28"/>
          <w:shd w:fill="auto" w:val="clear"/>
        </w:rPr>
        <w:t>руб., в связи с ростом минимального размера оплаты труда, увеличением дополнительного норматива отчислений от НДФЛ с 36,39% в 2024 году до 37,12% в 2025 году, а также в связи с поступлением в 2025 году НДФЛ за декабрь 2024 года;</w:t>
      </w:r>
    </w:p>
    <w:p>
      <w:pPr>
        <w:pStyle w:val="Normal"/>
        <w:widowControl/>
        <w:tabs>
          <w:tab w:val="clear" w:pos="708"/>
          <w:tab w:val="left" w:pos="1260" w:leader="none"/>
        </w:tabs>
        <w:ind w:firstLine="567"/>
        <w:jc w:val="both"/>
        <w:rPr>
          <w:highlight w:val="none"/>
          <w:shd w:fill="FFFF00" w:val="clear"/>
        </w:rPr>
      </w:pPr>
      <w:r>
        <w:rPr>
          <w:shd w:fill="FFFF00" w:val="clear"/>
        </w:rPr>
      </w:r>
    </w:p>
    <w:p>
      <w:pPr>
        <w:pStyle w:val="Normal"/>
        <w:tabs>
          <w:tab w:val="clear" w:pos="708"/>
          <w:tab w:val="left" w:pos="0" w:leader="none"/>
          <w:tab w:val="left" w:pos="709" w:leader="none"/>
        </w:tabs>
        <w:ind w:firstLine="567"/>
        <w:jc w:val="both"/>
        <w:rPr>
          <w:highlight w:val="none"/>
          <w:shd w:fill="auto" w:val="clear"/>
        </w:rPr>
      </w:pPr>
      <w:r>
        <w:rPr>
          <w:bCs/>
          <w:iCs/>
          <w:color w:val="000000"/>
          <w:sz w:val="28"/>
          <w:szCs w:val="28"/>
          <w:shd w:fill="auto" w:val="clear"/>
          <w:lang w:eastAsia="x-none"/>
        </w:rPr>
        <w:t>- по государственной пошлине на 4 954 755,85 руб., в связи с повышением ставок с сентября 2024 года;</w:t>
      </w:r>
    </w:p>
    <w:p>
      <w:pPr>
        <w:pStyle w:val="Normal"/>
        <w:tabs>
          <w:tab w:val="clear" w:pos="708"/>
          <w:tab w:val="left" w:pos="0" w:leader="none"/>
          <w:tab w:val="left" w:pos="709" w:leader="none"/>
        </w:tabs>
        <w:ind w:firstLine="567"/>
        <w:jc w:val="both"/>
        <w:rPr>
          <w:highlight w:val="none"/>
          <w:shd w:fill="auto" w:val="clear"/>
        </w:rPr>
      </w:pPr>
      <w:r>
        <w:rPr>
          <w:bCs/>
          <w:iCs/>
          <w:color w:val="000000"/>
          <w:sz w:val="28"/>
          <w:szCs w:val="28"/>
          <w:shd w:fill="auto" w:val="clear"/>
          <w:lang w:eastAsia="x-none"/>
        </w:rPr>
        <w:t>- по единому сельскохозяйственному налогу на 4 209 489,54 руб., в связи с увеличением прибыли за 2024 год по ИП Рапана Т.Е.</w:t>
      </w:r>
    </w:p>
    <w:p>
      <w:pPr>
        <w:pStyle w:val="Normal"/>
        <w:tabs>
          <w:tab w:val="clear" w:pos="708"/>
          <w:tab w:val="left" w:pos="0" w:leader="none"/>
          <w:tab w:val="left" w:pos="709" w:leader="none"/>
        </w:tabs>
        <w:ind w:firstLine="567"/>
        <w:jc w:val="both"/>
        <w:rPr>
          <w:highlight w:val="none"/>
          <w:shd w:fill="auto" w:val="clear"/>
        </w:rPr>
      </w:pPr>
      <w:r>
        <w:rPr>
          <w:bCs/>
          <w:iCs/>
          <w:color w:val="000000"/>
          <w:sz w:val="28"/>
          <w:szCs w:val="28"/>
          <w:shd w:fill="auto" w:val="clear"/>
          <w:lang w:eastAsia="x-none"/>
        </w:rPr>
        <w:t>- по акцизам на нефтепродукты на 3 357 077,13 руб., в связи с поступлением акцизов за сентябрь 2024 года в начале октября 2025 года и в связи с ежегодной индексацией ставок акцизов на нефтепродукты;</w:t>
      </w:r>
    </w:p>
    <w:p>
      <w:pPr>
        <w:pStyle w:val="Normal"/>
        <w:tabs>
          <w:tab w:val="clear" w:pos="708"/>
          <w:tab w:val="left" w:pos="0" w:leader="none"/>
          <w:tab w:val="left" w:pos="709" w:leader="none"/>
        </w:tabs>
        <w:ind w:firstLine="567"/>
        <w:jc w:val="both"/>
        <w:rPr>
          <w:highlight w:val="none"/>
          <w:shd w:fill="auto" w:val="clear"/>
        </w:rPr>
      </w:pPr>
      <w:r>
        <w:rPr>
          <w:bCs/>
          <w:iCs/>
          <w:color w:val="000000"/>
          <w:sz w:val="28"/>
          <w:szCs w:val="28"/>
          <w:shd w:fill="auto" w:val="clear"/>
          <w:lang w:eastAsia="x-none"/>
        </w:rPr>
        <w:t>- по штрафам, санкциям, возмещению ущерба на 2 157 994,35 рублей,  в связи с крупными поступлениями штрафов за причинение вреда окружающей среде;</w:t>
      </w:r>
    </w:p>
    <w:p>
      <w:pPr>
        <w:pStyle w:val="Normal"/>
        <w:tabs>
          <w:tab w:val="clear" w:pos="708"/>
          <w:tab w:val="left" w:pos="0" w:leader="none"/>
          <w:tab w:val="left" w:pos="709" w:leader="none"/>
        </w:tabs>
        <w:ind w:firstLine="567"/>
        <w:jc w:val="both"/>
        <w:rPr>
          <w:highlight w:val="none"/>
          <w:shd w:fill="auto" w:val="clear"/>
        </w:rPr>
      </w:pPr>
      <w:r>
        <w:rPr>
          <w:bCs/>
          <w:iCs/>
          <w:color w:val="000000"/>
          <w:sz w:val="28"/>
          <w:szCs w:val="28"/>
          <w:shd w:fill="auto" w:val="clear"/>
          <w:lang w:eastAsia="x-none"/>
        </w:rPr>
        <w:t>- по земельному налогу на 1 667 299,05 руб., в основном в связи с произведенными списаниями в  2024 году ООО «Аккорд» (1034 тыс. руб), ООО «Усть-Сертинское» (221 тыс.руб), ООО «Совхоз Тяжинский» (140 тыс.руб);</w:t>
      </w:r>
    </w:p>
    <w:p>
      <w:pPr>
        <w:pStyle w:val="Normal"/>
        <w:widowControl/>
        <w:tabs>
          <w:tab w:val="clear" w:pos="708"/>
          <w:tab w:val="left" w:pos="1260" w:leader="none"/>
        </w:tabs>
        <w:ind w:firstLine="540"/>
        <w:jc w:val="both"/>
        <w:rPr>
          <w:highlight w:val="none"/>
          <w:shd w:fill="auto" w:val="clear"/>
        </w:rPr>
      </w:pPr>
      <w:r>
        <w:rPr>
          <w:bCs/>
          <w:iCs/>
          <w:color w:val="000000"/>
          <w:sz w:val="28"/>
          <w:szCs w:val="28"/>
          <w:shd w:fill="auto" w:val="clear"/>
          <w:lang w:eastAsia="x-none"/>
        </w:rPr>
        <w:t>- по доходам от оказания платных услуг и компенсации затрат государства на    1 145 743,42 руб., в связи с поступлением в 2025 году возврата дебиторской задолженности прошлых лет в сумме 1 028 718,58 руб.</w:t>
      </w:r>
    </w:p>
    <w:p>
      <w:pPr>
        <w:pStyle w:val="Normal"/>
        <w:widowControl/>
        <w:tabs>
          <w:tab w:val="clear" w:pos="708"/>
          <w:tab w:val="left" w:pos="0" w:leader="none"/>
        </w:tabs>
        <w:jc w:val="both"/>
        <w:rPr>
          <w:color w:val="FFFF00"/>
          <w:highlight w:val="none"/>
          <w:shd w:fill="FFFF00" w:val="clear"/>
        </w:rPr>
      </w:pPr>
      <w:r>
        <w:rPr>
          <w:color w:val="FFFF00"/>
          <w:shd w:fill="FFFF00" w:val="clear"/>
        </w:rPr>
      </w:r>
    </w:p>
    <w:p>
      <w:pPr>
        <w:pStyle w:val="Normal"/>
        <w:widowControl/>
        <w:tabs>
          <w:tab w:val="clear" w:pos="708"/>
          <w:tab w:val="left" w:pos="0" w:leader="none"/>
        </w:tabs>
        <w:jc w:val="both"/>
        <w:rPr>
          <w:highlight w:val="none"/>
          <w:shd w:fill="auto" w:val="clear"/>
        </w:rPr>
      </w:pPr>
      <w:r>
        <w:rPr>
          <w:iCs/>
          <w:sz w:val="28"/>
          <w:szCs w:val="28"/>
          <w:shd w:fill="auto" w:val="clear"/>
          <w:lang w:eastAsia="x-none"/>
        </w:rPr>
        <w:t xml:space="preserve">    </w:t>
      </w:r>
      <w:r>
        <w:rPr>
          <w:sz w:val="28"/>
          <w:szCs w:val="28"/>
          <w:shd w:fill="auto" w:val="clear"/>
        </w:rPr>
        <w:t>Уменьшение в основном сложилось по следующим видам налогов и платежей:</w:t>
      </w:r>
    </w:p>
    <w:p>
      <w:pPr>
        <w:pStyle w:val="Normal"/>
        <w:widowControl/>
        <w:tabs>
          <w:tab w:val="clear" w:pos="708"/>
          <w:tab w:val="left" w:pos="0" w:leader="none"/>
        </w:tabs>
        <w:suppressAutoHyphens w:val="true"/>
        <w:overflowPunct w:val="false"/>
        <w:bidi w:val="0"/>
        <w:spacing w:lineRule="auto" w:line="240" w:before="0" w:after="0"/>
        <w:ind w:firstLine="567" w:left="0" w:right="0"/>
        <w:jc w:val="both"/>
        <w:rPr>
          <w:highlight w:val="none"/>
          <w:shd w:fill="auto" w:val="clear"/>
        </w:rPr>
      </w:pPr>
      <w:r>
        <w:rPr>
          <w:sz w:val="28"/>
          <w:szCs w:val="28"/>
          <w:shd w:fill="auto" w:val="clear"/>
        </w:rPr>
        <w:t>- по доходам от продажи материальных и нематериальных активов на                         4 251 010,76 руб., по факту состоявшихся сделок;</w:t>
      </w:r>
    </w:p>
    <w:p>
      <w:pPr>
        <w:pStyle w:val="Normal"/>
        <w:widowControl/>
        <w:tabs>
          <w:tab w:val="clear" w:pos="708"/>
          <w:tab w:val="left" w:pos="0" w:leader="none"/>
        </w:tabs>
        <w:jc w:val="both"/>
        <w:rPr/>
      </w:pPr>
      <w:r>
        <w:rPr>
          <w:iCs/>
          <w:color w:val="000000"/>
          <w:sz w:val="28"/>
          <w:szCs w:val="28"/>
          <w:shd w:fill="auto" w:val="clear"/>
          <w:lang w:eastAsia="x-none"/>
        </w:rPr>
        <w:t>- по доходам от использования имущества, находящегося в государственной и муниципальной собственности на 2 447 117,72 руб.,  за счет заключения в первом полугодии 2024 года новых договоров аренды земельных участков на земли сельхоз. назначения и земли производственного назначения и внесения задатков;</w:t>
      </w:r>
    </w:p>
    <w:p>
      <w:pPr>
        <w:pStyle w:val="Normal"/>
        <w:tabs>
          <w:tab w:val="clear" w:pos="708"/>
          <w:tab w:val="left" w:pos="0" w:leader="none"/>
          <w:tab w:val="left" w:pos="709" w:leader="none"/>
        </w:tabs>
        <w:ind w:firstLine="567"/>
        <w:jc w:val="both"/>
        <w:rPr>
          <w:highlight w:val="none"/>
          <w:shd w:fill="auto" w:val="clear"/>
        </w:rPr>
      </w:pPr>
      <w:r>
        <w:rPr>
          <w:color w:val="000000"/>
          <w:sz w:val="28"/>
          <w:szCs w:val="28"/>
          <w:shd w:fill="auto" w:val="clear"/>
        </w:rPr>
        <w:t>- по налогу, взимаемому в связи с применением патентной системы налогообложения на 1 083 791,84 руб., в связи с поступлением в начале 2024 года списанных в конце 2023 года сумм и в связи с произведенными списаниями данного налога в первом полугодии 2025 года.</w:t>
      </w:r>
    </w:p>
    <w:p>
      <w:pPr>
        <w:pStyle w:val="Normal"/>
        <w:tabs>
          <w:tab w:val="clear" w:pos="708"/>
          <w:tab w:val="left" w:pos="0" w:leader="none"/>
          <w:tab w:val="left" w:pos="709" w:leader="none"/>
        </w:tabs>
        <w:ind w:firstLine="567"/>
        <w:jc w:val="both"/>
        <w:rPr>
          <w:highlight w:val="none"/>
          <w:shd w:fill="FFFF00" w:val="clear"/>
        </w:rPr>
      </w:pPr>
      <w:r>
        <w:rPr>
          <w:shd w:fill="FFFF00" w:val="clear"/>
        </w:rPr>
      </w:r>
    </w:p>
    <w:p>
      <w:pPr>
        <w:pStyle w:val="Normal"/>
        <w:widowControl/>
        <w:tabs>
          <w:tab w:val="clear" w:pos="708"/>
          <w:tab w:val="left" w:pos="0" w:leader="none"/>
        </w:tabs>
        <w:ind w:firstLine="567"/>
        <w:jc w:val="both"/>
        <w:rPr>
          <w:highlight w:val="none"/>
          <w:shd w:fill="FFFF00" w:val="clear"/>
        </w:rPr>
      </w:pPr>
      <w:r>
        <w:rPr>
          <w:shd w:fill="FFFF00" w:val="clear"/>
        </w:rPr>
      </w:r>
    </w:p>
    <w:p>
      <w:pPr>
        <w:pStyle w:val="Normal"/>
        <w:widowControl/>
        <w:jc w:val="center"/>
        <w:rPr>
          <w:shd w:fill="auto" w:val="clear"/>
        </w:rPr>
      </w:pPr>
      <w:r>
        <w:rPr>
          <w:sz w:val="28"/>
          <w:szCs w:val="28"/>
          <w:shd w:fill="auto" w:val="clear"/>
        </w:rPr>
        <w:t xml:space="preserve">     </w:t>
      </w:r>
      <w:r>
        <w:rPr>
          <w:b/>
          <w:sz w:val="28"/>
          <w:szCs w:val="28"/>
        </w:rPr>
        <w:t>Исполнение бюджета округа  по расходам</w:t>
      </w:r>
    </w:p>
    <w:p>
      <w:pPr>
        <w:pStyle w:val="BodyTextIndent"/>
        <w:spacing w:lineRule="auto" w:line="276"/>
        <w:jc w:val="both"/>
        <w:rPr/>
      </w:pPr>
      <w:r>
        <w:rPr/>
        <w:t>Бюджет Тяжинского муниципального округа  за  девять месяцев 2025 года исполнен на 73,6 % от уточненного плана  (уточненный план по расходам                  2 023 787 555,46 руб., факт  1 489 571 288,59 руб.).</w:t>
      </w:r>
    </w:p>
    <w:p>
      <w:pPr>
        <w:pStyle w:val="BodyTextIndent"/>
        <w:spacing w:lineRule="auto" w:line="276"/>
        <w:ind w:hanging="0"/>
        <w:jc w:val="both"/>
        <w:rPr/>
      </w:pPr>
      <w:r>
        <w:rPr/>
        <w:t>По отраслевому признаку исполнения расходов местного бюджета проведено:</w:t>
      </w:r>
    </w:p>
    <w:p>
      <w:pPr>
        <w:pStyle w:val="BodyTextIndent"/>
        <w:spacing w:lineRule="auto" w:line="276"/>
        <w:ind w:hanging="0"/>
        <w:jc w:val="right"/>
        <w:rPr/>
      </w:pPr>
      <w:r>
        <w:rPr/>
        <w:t>(руб).</w:t>
      </w:r>
    </w:p>
    <w:tbl>
      <w:tblPr>
        <w:tblW w:w="9945" w:type="dxa"/>
        <w:jc w:val="left"/>
        <w:tblInd w:w="-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2"/>
        <w:gridCol w:w="3561"/>
        <w:gridCol w:w="1984"/>
        <w:gridCol w:w="2180"/>
        <w:gridCol w:w="1278"/>
      </w:tblGrid>
      <w:tr>
        <w:trPr/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отраслей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Уточненный план на год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Исполнено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%</w:t>
            </w:r>
          </w:p>
          <w:p>
            <w:pPr>
              <w:pStyle w:val="BodyTextIndent"/>
              <w:spacing w:lineRule="auto" w:line="276"/>
              <w:ind w:hanging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исполнения</w:t>
            </w:r>
          </w:p>
        </w:tc>
      </w:tr>
      <w:tr>
        <w:trPr/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rPr>
                <w:sz w:val="24"/>
              </w:rPr>
            </w:pPr>
            <w:r>
              <w:rPr>
                <w:sz w:val="24"/>
              </w:rPr>
              <w:t>Общегосударственные вопросы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sz w:val="24"/>
              </w:rPr>
            </w:pPr>
            <w:r>
              <w:rPr>
                <w:sz w:val="24"/>
              </w:rPr>
              <w:t>177 496 242,20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sz w:val="24"/>
              </w:rPr>
            </w:pPr>
            <w:r>
              <w:rPr>
                <w:sz w:val="24"/>
              </w:rPr>
              <w:t>120 743 499,42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</w:tr>
      <w:tr>
        <w:trPr/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rPr>
                <w:sz w:val="24"/>
              </w:rPr>
            </w:pPr>
            <w:r>
              <w:rPr>
                <w:sz w:val="24"/>
              </w:rPr>
              <w:t>Национальная оборона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sz w:val="24"/>
              </w:rPr>
            </w:pPr>
            <w:r>
              <w:rPr>
                <w:sz w:val="24"/>
              </w:rPr>
              <w:t>2 032 300,00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sz w:val="24"/>
              </w:rPr>
            </w:pPr>
            <w:r>
              <w:rPr>
                <w:sz w:val="24"/>
              </w:rPr>
              <w:t>1 338 629,16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sz w:val="24"/>
              </w:rPr>
            </w:pPr>
            <w:r>
              <w:rPr>
                <w:sz w:val="24"/>
              </w:rPr>
              <w:t>65,9</w:t>
            </w:r>
          </w:p>
        </w:tc>
      </w:tr>
      <w:tr>
        <w:trPr/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rPr>
                <w:sz w:val="24"/>
              </w:rPr>
            </w:pPr>
            <w:r>
              <w:rPr>
                <w:sz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sz w:val="24"/>
              </w:rPr>
            </w:pPr>
            <w:r>
              <w:rPr>
                <w:sz w:val="24"/>
              </w:rPr>
              <w:t>57 230 617,99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sz w:val="24"/>
              </w:rPr>
            </w:pPr>
            <w:r>
              <w:rPr>
                <w:sz w:val="24"/>
              </w:rPr>
              <w:t>40 589 357,52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sz w:val="24"/>
              </w:rPr>
            </w:pPr>
            <w:r>
              <w:rPr>
                <w:sz w:val="24"/>
              </w:rPr>
              <w:t>70,9</w:t>
            </w:r>
          </w:p>
        </w:tc>
      </w:tr>
      <w:tr>
        <w:trPr/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rPr>
                <w:sz w:val="24"/>
              </w:rPr>
            </w:pPr>
            <w:r>
              <w:rPr>
                <w:sz w:val="24"/>
              </w:rPr>
              <w:t>Национальная экономика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sz w:val="24"/>
              </w:rPr>
            </w:pPr>
            <w:r>
              <w:rPr>
                <w:sz w:val="24"/>
              </w:rPr>
              <w:t>208 349 839,34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sz w:val="24"/>
              </w:rPr>
            </w:pPr>
            <w:r>
              <w:rPr>
                <w:sz w:val="24"/>
              </w:rPr>
              <w:t>157 165 538,08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sz w:val="24"/>
              </w:rPr>
            </w:pPr>
            <w:r>
              <w:rPr>
                <w:sz w:val="24"/>
              </w:rPr>
              <w:t>75,4</w:t>
            </w:r>
          </w:p>
        </w:tc>
      </w:tr>
      <w:tr>
        <w:trPr/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rPr>
                <w:sz w:val="24"/>
              </w:rPr>
            </w:pPr>
            <w:r>
              <w:rPr>
                <w:sz w:val="24"/>
              </w:rPr>
              <w:t>Жилищно-коммунальное хозяйство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sz w:val="24"/>
              </w:rPr>
            </w:pPr>
            <w:r>
              <w:rPr>
                <w:sz w:val="24"/>
              </w:rPr>
              <w:t>97 007 867,24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sz w:val="24"/>
              </w:rPr>
            </w:pPr>
            <w:r>
              <w:rPr>
                <w:sz w:val="24"/>
              </w:rPr>
              <w:t>59 636 246,08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sz w:val="24"/>
              </w:rPr>
            </w:pPr>
            <w:r>
              <w:rPr>
                <w:sz w:val="24"/>
              </w:rPr>
              <w:t>61,5</w:t>
            </w:r>
          </w:p>
        </w:tc>
      </w:tr>
      <w:tr>
        <w:trPr/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rPr>
                <w:sz w:val="24"/>
              </w:rPr>
            </w:pPr>
            <w:r>
              <w:rPr>
                <w:sz w:val="24"/>
              </w:rPr>
              <w:t>Охрана окружающей среды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sz w:val="24"/>
              </w:rPr>
            </w:pPr>
            <w:r>
              <w:rPr>
                <w:sz w:val="24"/>
              </w:rPr>
              <w:t>17 355 541,33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rPr/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sz w:val="24"/>
              </w:rPr>
            </w:pPr>
            <w:r>
              <w:rPr>
                <w:sz w:val="24"/>
              </w:rPr>
              <w:t>07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sz w:val="24"/>
              </w:rPr>
            </w:pPr>
            <w:r>
              <w:rPr>
                <w:sz w:val="24"/>
              </w:rPr>
              <w:t>896 154 810,44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sz w:val="24"/>
              </w:rPr>
            </w:pPr>
            <w:r>
              <w:rPr>
                <w:sz w:val="24"/>
              </w:rPr>
              <w:t>675 816 713,78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sz w:val="24"/>
              </w:rPr>
            </w:pPr>
            <w:r>
              <w:rPr>
                <w:sz w:val="24"/>
              </w:rPr>
              <w:t>75,4</w:t>
            </w:r>
          </w:p>
        </w:tc>
      </w:tr>
      <w:tr>
        <w:trPr>
          <w:trHeight w:val="232" w:hRule="atLeast"/>
        </w:trPr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sz w:val="24"/>
              </w:rPr>
            </w:pPr>
            <w:r>
              <w:rPr>
                <w:sz w:val="24"/>
              </w:rPr>
              <w:t>08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rPr>
                <w:sz w:val="24"/>
              </w:rPr>
            </w:pPr>
            <w:r>
              <w:rPr>
                <w:sz w:val="24"/>
              </w:rPr>
              <w:t>Культура, кинематография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sz w:val="24"/>
              </w:rPr>
            </w:pPr>
            <w:r>
              <w:rPr>
                <w:sz w:val="24"/>
              </w:rPr>
              <w:t>246 577 823,16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sz w:val="24"/>
              </w:rPr>
            </w:pPr>
            <w:r>
              <w:rPr>
                <w:sz w:val="24"/>
              </w:rPr>
              <w:t>180 913 459,34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sz w:val="24"/>
              </w:rPr>
            </w:pPr>
            <w:r>
              <w:rPr>
                <w:sz w:val="24"/>
              </w:rPr>
              <w:t>73,4</w:t>
            </w:r>
          </w:p>
        </w:tc>
      </w:tr>
      <w:tr>
        <w:trPr/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rPr>
                <w:sz w:val="24"/>
              </w:rPr>
            </w:pPr>
            <w:r>
              <w:rPr>
                <w:sz w:val="24"/>
              </w:rPr>
              <w:t>Социальная политика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sz w:val="24"/>
              </w:rPr>
            </w:pPr>
            <w:r>
              <w:rPr>
                <w:sz w:val="24"/>
              </w:rPr>
              <w:t>318 212 572,76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sz w:val="24"/>
              </w:rPr>
            </w:pPr>
            <w:r>
              <w:rPr>
                <w:sz w:val="24"/>
              </w:rPr>
              <w:t>251 555 876,54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sz w:val="24"/>
              </w:rPr>
            </w:pPr>
            <w:r>
              <w:rPr>
                <w:sz w:val="24"/>
              </w:rPr>
              <w:t>79,1</w:t>
            </w:r>
          </w:p>
        </w:tc>
      </w:tr>
      <w:tr>
        <w:trPr/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rPr>
                <w:sz w:val="24"/>
              </w:rPr>
            </w:pPr>
            <w:r>
              <w:rPr>
                <w:sz w:val="24"/>
              </w:rPr>
              <w:t>Физическая культура и спорт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sz w:val="24"/>
              </w:rPr>
            </w:pPr>
            <w:r>
              <w:rPr>
                <w:sz w:val="24"/>
              </w:rPr>
              <w:t>937 500,00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sz w:val="24"/>
              </w:rPr>
            </w:pPr>
            <w:r>
              <w:rPr>
                <w:sz w:val="24"/>
              </w:rPr>
              <w:t>439 185,62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rPr>
                <w:sz w:val="24"/>
              </w:rPr>
            </w:pPr>
            <w:r>
              <w:rPr>
                <w:sz w:val="24"/>
              </w:rPr>
              <w:t xml:space="preserve">       </w:t>
            </w:r>
            <w:r>
              <w:rPr>
                <w:sz w:val="24"/>
              </w:rPr>
              <w:t>46,8</w:t>
            </w:r>
          </w:p>
        </w:tc>
      </w:tr>
      <w:tr>
        <w:trPr/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rPr>
                <w:sz w:val="24"/>
              </w:rPr>
            </w:pPr>
            <w:r>
              <w:rPr>
                <w:sz w:val="24"/>
              </w:rPr>
              <w:t>Средства массовой информации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sz w:val="24"/>
              </w:rPr>
            </w:pPr>
            <w:r>
              <w:rPr>
                <w:sz w:val="24"/>
              </w:rPr>
              <w:t>2 432 441,00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sz w:val="24"/>
              </w:rPr>
            </w:pPr>
            <w:r>
              <w:rPr>
                <w:sz w:val="24"/>
              </w:rPr>
              <w:t>1 372 783,05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sz w:val="24"/>
              </w:rPr>
            </w:pPr>
            <w:r>
              <w:rPr>
                <w:sz w:val="24"/>
              </w:rPr>
              <w:t>56,4</w:t>
            </w:r>
          </w:p>
        </w:tc>
      </w:tr>
      <w:tr>
        <w:trPr>
          <w:trHeight w:val="278" w:hRule="atLeast"/>
        </w:trPr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Indent"/>
              <w:spacing w:lineRule="auto" w:line="276"/>
              <w:ind w:hanging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rPr>
                <w:b/>
                <w:sz w:val="24"/>
              </w:rPr>
            </w:pPr>
            <w:r>
              <w:rPr>
                <w:b/>
                <w:sz w:val="24"/>
              </w:rPr>
              <w:t>ИТОГО РАСХОДОВ: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2 023 787 555,46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1 489 571 288,59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73,6</w:t>
            </w:r>
          </w:p>
        </w:tc>
      </w:tr>
    </w:tbl>
    <w:p>
      <w:pPr>
        <w:pStyle w:val="BodyTextIndent"/>
        <w:spacing w:lineRule="auto" w:line="276"/>
        <w:ind w:firstLine="567"/>
        <w:rPr/>
      </w:pPr>
      <w:r>
        <w:rPr/>
      </w:r>
    </w:p>
    <w:p>
      <w:pPr>
        <w:pStyle w:val="BodyTextIndent"/>
        <w:spacing w:lineRule="auto" w:line="276"/>
        <w:ind w:firstLine="567"/>
        <w:rPr>
          <w:b/>
          <w:u w:val="single"/>
        </w:rPr>
      </w:pPr>
      <w:r>
        <w:rPr>
          <w:b/>
        </w:rPr>
        <w:t>  </w:t>
      </w:r>
      <w:r>
        <w:rPr>
          <w:b/>
          <w:u w:val="single"/>
        </w:rPr>
        <w:t>Общегосударственные вопросы</w:t>
      </w:r>
    </w:p>
    <w:p>
      <w:pPr>
        <w:pStyle w:val="BodyTextIndent"/>
        <w:spacing w:lineRule="auto" w:line="276"/>
        <w:ind w:hanging="0"/>
        <w:rPr/>
      </w:pPr>
      <w:r>
        <w:rPr/>
        <w:t xml:space="preserve">           </w:t>
      </w:r>
      <w:r>
        <w:rPr/>
        <w:t>Исполнение по данному разделу составило 120 743 499,42</w:t>
      </w:r>
      <w:r>
        <w:rPr>
          <w:szCs w:val="28"/>
        </w:rPr>
        <w:t xml:space="preserve"> руб. при плане 177 496 242,20  руб. или 68 %.    </w:t>
      </w:r>
      <w:r>
        <w:rPr/>
        <w:t xml:space="preserve">       </w:t>
      </w:r>
    </w:p>
    <w:p>
      <w:pPr>
        <w:pStyle w:val="BodyTextIndent"/>
        <w:jc w:val="both"/>
        <w:rPr/>
      </w:pPr>
      <w:r>
        <w:rPr/>
        <w:t xml:space="preserve">По данному разделу отражаются расходы на функционирование высшего должностного лица – главы муниципального округа, Совета народных депутатов ТМО, Контрольно-счетной палаты ТМО, органов местного самоуправления, прочие общегосударственные вопросы, не включенные в другие разделы. </w:t>
      </w:r>
    </w:p>
    <w:p>
      <w:pPr>
        <w:pStyle w:val="Normal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Heading2"/>
        <w:tabs>
          <w:tab w:val="clear" w:pos="708"/>
          <w:tab w:val="left" w:pos="5955" w:leader="none"/>
        </w:tabs>
        <w:spacing w:lineRule="auto" w:line="276"/>
        <w:ind w:hanging="0" w:left="0"/>
        <w:jc w:val="both"/>
        <w:rPr>
          <w:b w:val="false"/>
          <w:bCs w:val="false"/>
          <w:u w:val="none"/>
        </w:rPr>
      </w:pPr>
      <w:r>
        <w:rPr/>
        <w:t>Национальная оборона</w:t>
      </w:r>
      <w:r>
        <w:rPr>
          <w:u w:val="none"/>
        </w:rPr>
        <w:t xml:space="preserve">    </w:t>
      </w:r>
      <w:r>
        <w:rPr>
          <w:b w:val="false"/>
          <w:bCs w:val="false"/>
          <w:u w:val="none"/>
        </w:rPr>
        <w:t>исполнение – 65,9 %</w:t>
      </w:r>
    </w:p>
    <w:p>
      <w:pPr>
        <w:pStyle w:val="Heading2"/>
        <w:tabs>
          <w:tab w:val="clear" w:pos="708"/>
          <w:tab w:val="left" w:pos="5955" w:leader="none"/>
        </w:tabs>
        <w:spacing w:lineRule="auto" w:line="276"/>
        <w:ind w:hanging="0" w:left="0"/>
        <w:jc w:val="both"/>
        <w:rPr>
          <w:b w:val="false"/>
          <w:bCs w:val="false"/>
          <w:u w:val="none"/>
        </w:rPr>
      </w:pPr>
      <w:r>
        <w:rPr>
          <w:b w:val="false"/>
          <w:bCs w:val="false"/>
          <w:u w:val="none"/>
        </w:rPr>
        <w:t>(уточненный план  2 032 300,00 руб., исполнено 1 338 629,16 руб.)</w:t>
        <w:tab/>
      </w:r>
    </w:p>
    <w:p>
      <w:pPr>
        <w:pStyle w:val="Normal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sz w:val="28"/>
          <w:szCs w:val="28"/>
        </w:rPr>
        <w:t>Расходы произведены за счет субвенции на осуществление первичного воинского учета органами местного самоуправления поселений, муниципальных и городских округов.</w:t>
      </w:r>
    </w:p>
    <w:p>
      <w:pPr>
        <w:pStyle w:val="Normal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Heading2"/>
        <w:tabs>
          <w:tab w:val="clear" w:pos="708"/>
          <w:tab w:val="left" w:pos="5955" w:leader="none"/>
        </w:tabs>
        <w:spacing w:lineRule="auto" w:line="276"/>
        <w:ind w:hanging="0" w:left="0"/>
        <w:jc w:val="both"/>
        <w:rPr>
          <w:b w:val="false"/>
          <w:bCs w:val="false"/>
          <w:u w:val="none"/>
        </w:rPr>
      </w:pPr>
      <w:r>
        <w:rPr/>
        <w:t>Национальная безопасность и правоохранительная деятельность</w:t>
      </w:r>
      <w:r>
        <w:rPr>
          <w:u w:val="none"/>
        </w:rPr>
        <w:t xml:space="preserve">    </w:t>
      </w:r>
    </w:p>
    <w:p>
      <w:pPr>
        <w:pStyle w:val="Normal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  <w:t>По данному разделу отражаются расходы:</w:t>
      </w:r>
    </w:p>
    <w:p>
      <w:pPr>
        <w:pStyle w:val="BodyTextIndent"/>
        <w:spacing w:lineRule="auto" w:line="276"/>
        <w:ind w:hanging="0"/>
        <w:rPr/>
      </w:pPr>
      <w:r>
        <w:rPr/>
        <w:t xml:space="preserve"> </w:t>
      </w:r>
      <w:r>
        <w:rPr/>
        <w:t>1. Гражданская оборона:</w:t>
      </w:r>
    </w:p>
    <w:p>
      <w:pPr>
        <w:pStyle w:val="BodyTextIndent"/>
        <w:spacing w:lineRule="auto" w:line="276"/>
        <w:ind w:hanging="0" w:left="720"/>
        <w:rPr/>
      </w:pPr>
      <w:r>
        <w:rPr/>
        <w:t>План – 100 000,00  руб.</w:t>
      </w:r>
    </w:p>
    <w:p>
      <w:pPr>
        <w:pStyle w:val="BodyTextIndent"/>
        <w:spacing w:lineRule="auto" w:line="276"/>
        <w:rPr/>
      </w:pPr>
      <w:r>
        <w:rPr/>
        <w:t>Факт -  22 458,96 руб.</w:t>
      </w:r>
    </w:p>
    <w:p>
      <w:pPr>
        <w:pStyle w:val="BodyTextIndent"/>
        <w:spacing w:lineRule="auto" w:line="276"/>
        <w:ind w:hanging="0"/>
        <w:rPr/>
      </w:pPr>
      <w:r>
        <w:rPr/>
        <w:t xml:space="preserve">          </w:t>
      </w:r>
      <w:r>
        <w:rPr/>
        <w:t>Исполнение – 22,5 %</w:t>
      </w:r>
    </w:p>
    <w:p>
      <w:pPr>
        <w:pStyle w:val="BodyTextIndent"/>
        <w:spacing w:lineRule="auto" w:line="276"/>
        <w:ind w:hanging="0"/>
        <w:rPr/>
      </w:pPr>
      <w:r>
        <w:rPr/>
        <w:t>2.  Защита населения и территории от чрезвычайных ситуаций природного и техногенного характера, пожарная безопасность:</w:t>
      </w:r>
    </w:p>
    <w:p>
      <w:pPr>
        <w:pStyle w:val="BodyTextIndent"/>
        <w:spacing w:lineRule="auto" w:line="276"/>
        <w:ind w:hanging="0" w:left="644"/>
        <w:rPr/>
      </w:pPr>
      <w:r>
        <w:rPr/>
        <w:t xml:space="preserve">  </w:t>
      </w:r>
      <w:r>
        <w:rPr/>
        <w:t>План – 28 114 400,65 руб.</w:t>
      </w:r>
    </w:p>
    <w:p>
      <w:pPr>
        <w:pStyle w:val="BodyTextIndent"/>
        <w:spacing w:lineRule="auto" w:line="276"/>
        <w:rPr/>
      </w:pPr>
      <w:r>
        <w:rPr/>
        <w:t xml:space="preserve"> </w:t>
      </w:r>
      <w:r>
        <w:rPr/>
        <w:t>Факт — 121 616 500,02 руб.</w:t>
      </w:r>
    </w:p>
    <w:p>
      <w:pPr>
        <w:pStyle w:val="BodyTextIndent"/>
        <w:spacing w:lineRule="auto" w:line="276"/>
        <w:ind w:hanging="0"/>
        <w:rPr/>
      </w:pPr>
      <w:r>
        <w:rPr/>
        <w:t xml:space="preserve">            </w:t>
      </w:r>
      <w:r>
        <w:rPr/>
        <w:t>Исполнение – 76,9 %</w:t>
      </w:r>
    </w:p>
    <w:p>
      <w:pPr>
        <w:pStyle w:val="BodyTextIndent"/>
        <w:spacing w:lineRule="auto" w:line="276"/>
        <w:ind w:hanging="0"/>
        <w:rPr/>
      </w:pPr>
      <w:r>
        <w:rPr/>
        <w:t>3.  Другие вопросы в области национальной безопасности и правоохранительной деятельности (мероприятия по пожарной безопасности,  антитеррористической защищенности, безопасности дорожного движения, ЕДДС):</w:t>
      </w:r>
    </w:p>
    <w:p>
      <w:pPr>
        <w:pStyle w:val="BodyTextIndent"/>
        <w:spacing w:lineRule="auto" w:line="276"/>
        <w:ind w:hanging="0" w:left="644"/>
        <w:rPr/>
      </w:pPr>
      <w:r>
        <w:rPr/>
        <w:t xml:space="preserve">  </w:t>
      </w:r>
      <w:r>
        <w:rPr/>
        <w:t>План – 29 016 217,34 руб.</w:t>
      </w:r>
    </w:p>
    <w:p>
      <w:pPr>
        <w:pStyle w:val="BodyTextIndent"/>
        <w:spacing w:lineRule="auto" w:line="276"/>
        <w:rPr/>
      </w:pPr>
      <w:r>
        <w:rPr/>
        <w:t xml:space="preserve"> </w:t>
      </w:r>
      <w:r>
        <w:rPr/>
        <w:t>Факт -  18 950 398,54 руб.</w:t>
      </w:r>
    </w:p>
    <w:p>
      <w:pPr>
        <w:pStyle w:val="BodyTextIndent"/>
        <w:spacing w:lineRule="auto" w:line="276"/>
        <w:ind w:hanging="0"/>
        <w:rPr/>
      </w:pPr>
      <w:r>
        <w:rPr/>
        <w:t xml:space="preserve">            </w:t>
      </w:r>
      <w:r>
        <w:rPr/>
        <w:t>Исполнение –  65,3 %</w:t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/>
      </w:pPr>
      <w:r>
        <w:rPr/>
        <w:t xml:space="preserve">   </w:t>
      </w:r>
      <w:r>
        <w:rPr/>
        <w:t xml:space="preserve">Всего расходов по данному разделу </w:t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/>
      </w:pPr>
      <w:r>
        <w:rPr/>
        <w:t>при уточненном плане  – 57 230 617,99 руб.</w:t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/>
      </w:pPr>
      <w:r>
        <w:rPr/>
        <w:t xml:space="preserve">                  </w:t>
      </w:r>
      <w:r>
        <w:rPr/>
        <w:t>исполнено – 40 589 357,52 руб.</w:t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/>
      </w:pPr>
      <w:r>
        <w:rPr/>
        <w:t xml:space="preserve">                  </w:t>
      </w:r>
      <w:r>
        <w:rPr/>
        <w:t>исполнение составило 70,9 %</w:t>
      </w:r>
    </w:p>
    <w:p>
      <w:pPr>
        <w:pStyle w:val="Heading2"/>
        <w:tabs>
          <w:tab w:val="clear" w:pos="708"/>
          <w:tab w:val="left" w:pos="5955" w:leader="none"/>
        </w:tabs>
        <w:spacing w:lineRule="auto" w:line="276"/>
        <w:ind w:hanging="0" w:left="0"/>
        <w:jc w:val="both"/>
        <w:rPr/>
      </w:pPr>
      <w:r>
        <w:rPr/>
      </w:r>
    </w:p>
    <w:p>
      <w:pPr>
        <w:pStyle w:val="Heading2"/>
        <w:tabs>
          <w:tab w:val="clear" w:pos="708"/>
          <w:tab w:val="left" w:pos="5955" w:leader="none"/>
        </w:tabs>
        <w:spacing w:lineRule="auto" w:line="276"/>
        <w:ind w:hanging="0" w:left="0"/>
        <w:jc w:val="both"/>
        <w:rPr>
          <w:b w:val="false"/>
          <w:bCs w:val="false"/>
          <w:u w:val="none"/>
        </w:rPr>
      </w:pPr>
      <w:r>
        <w:rPr/>
        <w:t>Национальная экономика</w:t>
      </w:r>
      <w:r>
        <w:rPr>
          <w:b w:val="false"/>
          <w:bCs w:val="false"/>
          <w:u w:val="none"/>
        </w:rPr>
        <w:t xml:space="preserve">  </w:t>
      </w:r>
    </w:p>
    <w:p>
      <w:pPr>
        <w:pStyle w:val="Normal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  <w:t>По данному разделу отражаются расходы:</w:t>
      </w:r>
    </w:p>
    <w:p>
      <w:pPr>
        <w:pStyle w:val="BodyTextIndent"/>
        <w:tabs>
          <w:tab w:val="clear" w:pos="708"/>
          <w:tab w:val="left" w:pos="567" w:leader="none"/>
          <w:tab w:val="left" w:pos="993" w:leader="none"/>
        </w:tabs>
        <w:spacing w:lineRule="auto" w:line="276"/>
        <w:ind w:hanging="0"/>
        <w:jc w:val="both"/>
        <w:rPr/>
      </w:pPr>
      <w:r>
        <w:rPr/>
        <w:t xml:space="preserve"> </w:t>
      </w:r>
      <w:r>
        <w:rPr/>
        <w:t>1. Топливно-энергетический комплекс:</w:t>
      </w:r>
    </w:p>
    <w:p>
      <w:pPr>
        <w:pStyle w:val="BodyTextIndent"/>
        <w:spacing w:lineRule="auto" w:line="276"/>
        <w:ind w:hanging="0" w:left="644"/>
        <w:jc w:val="both"/>
        <w:rPr/>
      </w:pPr>
      <w:r>
        <w:rPr/>
        <w:t xml:space="preserve">       </w:t>
      </w:r>
      <w:r>
        <w:rPr/>
        <w:t>План – 123 576 200,00 руб.</w:t>
      </w:r>
    </w:p>
    <w:p>
      <w:pPr>
        <w:pStyle w:val="BodyTextIndent"/>
        <w:spacing w:lineRule="auto" w:line="276"/>
        <w:jc w:val="both"/>
        <w:rPr/>
      </w:pPr>
      <w:r>
        <w:rPr/>
        <w:t xml:space="preserve">     </w:t>
      </w:r>
      <w:r>
        <w:rPr/>
        <w:t>Факт – 113 331 487,15 руб.</w:t>
      </w:r>
    </w:p>
    <w:p>
      <w:pPr>
        <w:pStyle w:val="BodyTextIndent"/>
        <w:spacing w:lineRule="auto" w:line="276"/>
        <w:ind w:hanging="0" w:left="360"/>
        <w:jc w:val="both"/>
        <w:rPr/>
      </w:pPr>
      <w:r>
        <w:rPr/>
        <w:t xml:space="preserve">          </w:t>
      </w:r>
      <w:r>
        <w:rPr/>
        <w:t>Исполнение – 91,7 %</w:t>
      </w:r>
    </w:p>
    <w:p>
      <w:pPr>
        <w:pStyle w:val="BodyTextIndent"/>
        <w:tabs>
          <w:tab w:val="clear" w:pos="708"/>
          <w:tab w:val="left" w:pos="567" w:leader="none"/>
          <w:tab w:val="left" w:pos="993" w:leader="none"/>
        </w:tabs>
        <w:spacing w:lineRule="auto" w:line="276"/>
        <w:ind w:hanging="0"/>
        <w:jc w:val="both"/>
        <w:rPr/>
      </w:pPr>
      <w:r>
        <w:rPr/>
        <w:t>2. Дорожное хозяйство (дорожные фонды):</w:t>
      </w:r>
    </w:p>
    <w:p>
      <w:pPr>
        <w:pStyle w:val="BodyTextIndent"/>
        <w:spacing w:lineRule="auto" w:line="276"/>
        <w:ind w:hanging="0" w:left="644"/>
        <w:jc w:val="both"/>
        <w:rPr/>
      </w:pPr>
      <w:r>
        <w:rPr/>
        <w:t xml:space="preserve">       </w:t>
      </w:r>
      <w:r>
        <w:rPr/>
        <w:t>План – 83 418 639,34 руб.</w:t>
      </w:r>
    </w:p>
    <w:p>
      <w:pPr>
        <w:pStyle w:val="BodyTextIndent"/>
        <w:spacing w:lineRule="auto" w:line="276"/>
        <w:jc w:val="both"/>
        <w:rPr/>
      </w:pPr>
      <w:r>
        <w:rPr/>
        <w:t xml:space="preserve">     </w:t>
      </w:r>
      <w:r>
        <w:rPr/>
        <w:t>Факт – 42 774 350,93 руб.</w:t>
      </w:r>
    </w:p>
    <w:p>
      <w:pPr>
        <w:pStyle w:val="BodyTextIndent"/>
        <w:spacing w:lineRule="auto" w:line="276"/>
        <w:ind w:hanging="0" w:left="360"/>
        <w:jc w:val="both"/>
        <w:rPr/>
      </w:pPr>
      <w:r>
        <w:rPr/>
        <w:t xml:space="preserve">          </w:t>
      </w:r>
      <w:r>
        <w:rPr/>
        <w:t>Исполнение – 51,3 %</w:t>
      </w:r>
    </w:p>
    <w:p>
      <w:pPr>
        <w:pStyle w:val="BodyTextIndent"/>
        <w:tabs>
          <w:tab w:val="clear" w:pos="708"/>
          <w:tab w:val="left" w:pos="567" w:leader="none"/>
          <w:tab w:val="left" w:pos="993" w:leader="none"/>
        </w:tabs>
        <w:spacing w:lineRule="auto" w:line="276"/>
        <w:ind w:hanging="0"/>
        <w:jc w:val="both"/>
        <w:rPr/>
      </w:pPr>
      <w:r>
        <w:rPr/>
        <w:t>3. Другие вопросы в области национальной экономики (техническая инвентаризация, паспортизация объектов, межевание земельных участков,   карстовые работы):</w:t>
      </w:r>
    </w:p>
    <w:p>
      <w:pPr>
        <w:pStyle w:val="BodyTextIndent"/>
        <w:spacing w:lineRule="auto" w:line="276"/>
        <w:ind w:hanging="0" w:left="644"/>
        <w:jc w:val="both"/>
        <w:rPr/>
      </w:pPr>
      <w:r>
        <w:rPr/>
        <w:t xml:space="preserve">       </w:t>
      </w:r>
      <w:r>
        <w:rPr/>
        <w:t>План – 1 355 000,00 руб.</w:t>
      </w:r>
    </w:p>
    <w:p>
      <w:pPr>
        <w:pStyle w:val="BodyTextIndent"/>
        <w:spacing w:lineRule="auto" w:line="276"/>
        <w:jc w:val="both"/>
        <w:rPr/>
      </w:pPr>
      <w:r>
        <w:rPr/>
        <w:t xml:space="preserve">     </w:t>
      </w:r>
      <w:r>
        <w:rPr/>
        <w:t>Факт – 1 059 700,00 руб.</w:t>
      </w:r>
    </w:p>
    <w:p>
      <w:pPr>
        <w:pStyle w:val="BodyTextIndent"/>
        <w:spacing w:lineRule="auto" w:line="276"/>
        <w:ind w:hanging="0" w:left="360"/>
        <w:jc w:val="both"/>
        <w:rPr/>
      </w:pPr>
      <w:r>
        <w:rPr/>
        <w:t xml:space="preserve">          </w:t>
      </w:r>
      <w:r>
        <w:rPr/>
        <w:t>Исполнение – 78,2 %</w:t>
      </w:r>
    </w:p>
    <w:p>
      <w:pPr>
        <w:pStyle w:val="BodyTextIndent"/>
        <w:spacing w:lineRule="auto" w:line="276"/>
        <w:ind w:hanging="0" w:left="360"/>
        <w:jc w:val="both"/>
        <w:rPr/>
      </w:pPr>
      <w:r>
        <w:rPr/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/>
      </w:pPr>
      <w:r>
        <w:rPr/>
        <w:t xml:space="preserve">        </w:t>
      </w:r>
      <w:r>
        <w:rPr/>
        <w:t xml:space="preserve">Всего расходов по данному разделу </w:t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/>
      </w:pPr>
      <w:r>
        <w:rPr/>
        <w:t>при уточненном плане  – 208 349 839,34 руб.</w:t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/>
      </w:pPr>
      <w:r>
        <w:rPr/>
        <w:t xml:space="preserve">                             </w:t>
      </w:r>
      <w:r>
        <w:rPr/>
        <w:t>исполнено –  157 165 538,08 руб.</w:t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/>
      </w:pPr>
      <w:r>
        <w:rPr/>
        <w:t xml:space="preserve">                  </w:t>
      </w:r>
      <w:r>
        <w:rPr/>
        <w:t>исполнение составило 75,4 %</w:t>
      </w:r>
    </w:p>
    <w:p>
      <w:pPr>
        <w:pStyle w:val="BodyTextIndent"/>
        <w:spacing w:lineRule="auto" w:line="276"/>
        <w:ind w:hanging="0" w:left="928"/>
        <w:jc w:val="both"/>
        <w:rPr>
          <w:b/>
          <w:u w:val="single"/>
        </w:rPr>
      </w:pPr>
      <w:r>
        <w:rPr>
          <w:b/>
          <w:u w:val="single"/>
        </w:rPr>
      </w:r>
    </w:p>
    <w:p>
      <w:pPr>
        <w:pStyle w:val="BodyTextIndent"/>
        <w:spacing w:lineRule="auto" w:line="276"/>
        <w:ind w:hanging="0" w:left="928"/>
        <w:jc w:val="both"/>
        <w:rPr/>
      </w:pPr>
      <w:r>
        <w:rPr>
          <w:b/>
          <w:u w:val="single"/>
        </w:rPr>
        <w:t>Жилищно – коммунальное хозяйство</w:t>
      </w:r>
      <w:r>
        <w:rPr/>
        <w:t xml:space="preserve"> </w:t>
      </w:r>
    </w:p>
    <w:p>
      <w:pPr>
        <w:pStyle w:val="Normal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  <w:t>По данному разделу отражаются расходы:</w:t>
      </w:r>
    </w:p>
    <w:p>
      <w:pPr>
        <w:pStyle w:val="BodyTextIndent"/>
        <w:spacing w:lineRule="auto" w:line="276"/>
        <w:ind w:hanging="0"/>
        <w:jc w:val="both"/>
        <w:rPr/>
      </w:pPr>
      <w:r>
        <w:rPr>
          <w:color w:themeColor="dark1" w:val="000000"/>
        </w:rPr>
        <w:t>1.</w:t>
      </w:r>
      <w:r>
        <w:rPr/>
        <w:t xml:space="preserve">  </w:t>
      </w:r>
      <w:r>
        <w:rPr>
          <w:color w:themeColor="dark1" w:val="000000"/>
        </w:rPr>
        <w:t>Жилищное хозяйство</w:t>
      </w:r>
      <w:r>
        <w:rPr/>
        <w:t>:</w:t>
      </w:r>
    </w:p>
    <w:p>
      <w:pPr>
        <w:pStyle w:val="BodyTextIndent"/>
        <w:spacing w:lineRule="auto" w:line="276"/>
        <w:ind w:hanging="0" w:left="644"/>
        <w:jc w:val="both"/>
        <w:rPr/>
      </w:pPr>
      <w:r>
        <w:rPr/>
        <w:t xml:space="preserve">      </w:t>
      </w:r>
      <w:r>
        <w:rPr/>
        <w:t>План – 6 860 507,65 руб.</w:t>
      </w:r>
    </w:p>
    <w:p>
      <w:pPr>
        <w:pStyle w:val="BodyTextIndent"/>
        <w:spacing w:lineRule="auto" w:line="276"/>
        <w:jc w:val="both"/>
        <w:rPr/>
      </w:pPr>
      <w:r>
        <w:rPr/>
        <w:t xml:space="preserve">     </w:t>
      </w:r>
      <w:r>
        <w:rPr/>
        <w:t>Факт -  3 231 339,20 руб.</w:t>
      </w:r>
    </w:p>
    <w:p>
      <w:pPr>
        <w:pStyle w:val="BodyTextIndent"/>
        <w:spacing w:lineRule="auto" w:line="276"/>
        <w:ind w:hanging="0"/>
        <w:rPr/>
      </w:pPr>
      <w:r>
        <w:rPr/>
        <w:t xml:space="preserve">                </w:t>
      </w:r>
      <w:r>
        <w:rPr/>
        <w:t>Исполнение – 47,1%</w:t>
      </w:r>
    </w:p>
    <w:p>
      <w:pPr>
        <w:pStyle w:val="BodyTextIndent"/>
        <w:spacing w:lineRule="auto" w:line="276"/>
        <w:ind w:hanging="0"/>
        <w:jc w:val="both"/>
        <w:rPr/>
      </w:pPr>
      <w:r>
        <w:rPr>
          <w:color w:themeColor="dark1" w:val="000000"/>
        </w:rPr>
        <w:t>2.  Коммунальное хозяйство</w:t>
      </w:r>
      <w:r>
        <w:rPr/>
        <w:t>:</w:t>
      </w:r>
    </w:p>
    <w:p>
      <w:pPr>
        <w:pStyle w:val="BodyTextIndent"/>
        <w:spacing w:lineRule="auto" w:line="276"/>
        <w:ind w:hanging="0" w:left="644"/>
        <w:jc w:val="both"/>
        <w:rPr/>
      </w:pPr>
      <w:r>
        <w:rPr/>
        <w:t xml:space="preserve">      </w:t>
      </w:r>
      <w:r>
        <w:rPr/>
        <w:t>План – 28 156 215,43 руб.</w:t>
      </w:r>
    </w:p>
    <w:p>
      <w:pPr>
        <w:pStyle w:val="BodyTextIndent"/>
        <w:spacing w:lineRule="auto" w:line="276"/>
        <w:jc w:val="both"/>
        <w:rPr/>
      </w:pPr>
      <w:r>
        <w:rPr/>
        <w:t xml:space="preserve">     </w:t>
      </w:r>
      <w:r>
        <w:rPr/>
        <w:t>Факт -  27 014 351,81 руб.</w:t>
      </w:r>
    </w:p>
    <w:p>
      <w:pPr>
        <w:pStyle w:val="BodyTextIndent"/>
        <w:spacing w:lineRule="auto" w:line="276"/>
        <w:ind w:hanging="0"/>
        <w:rPr/>
      </w:pPr>
      <w:r>
        <w:rPr/>
        <w:t xml:space="preserve">                </w:t>
      </w:r>
      <w:r>
        <w:rPr/>
        <w:t>Исполнение – 95,9 %</w:t>
      </w:r>
    </w:p>
    <w:p>
      <w:pPr>
        <w:pStyle w:val="BodyTextIndent"/>
        <w:spacing w:lineRule="auto" w:line="276"/>
        <w:ind w:hanging="0"/>
        <w:jc w:val="both"/>
        <w:rPr/>
      </w:pPr>
      <w:r>
        <w:rPr/>
        <w:t>3.  Благоустройство:</w:t>
      </w:r>
    </w:p>
    <w:p>
      <w:pPr>
        <w:pStyle w:val="BodyTextIndent"/>
        <w:spacing w:lineRule="auto" w:line="276"/>
        <w:jc w:val="both"/>
        <w:rPr/>
      </w:pPr>
      <w:r>
        <w:rPr/>
        <w:t xml:space="preserve">     </w:t>
      </w:r>
      <w:r>
        <w:rPr/>
        <w:t>План – 61 991 144,16 руб.</w:t>
      </w:r>
    </w:p>
    <w:p>
      <w:pPr>
        <w:pStyle w:val="BodyTextIndent"/>
        <w:spacing w:lineRule="auto" w:line="276"/>
        <w:jc w:val="both"/>
        <w:rPr/>
      </w:pPr>
      <w:r>
        <w:rPr/>
        <w:t xml:space="preserve">     </w:t>
      </w:r>
      <w:r>
        <w:rPr/>
        <w:t>Факт -  29 390 055,07 руб.</w:t>
      </w:r>
    </w:p>
    <w:p>
      <w:pPr>
        <w:pStyle w:val="BodyTextIndent"/>
        <w:spacing w:lineRule="auto" w:line="276"/>
        <w:ind w:hanging="0"/>
        <w:jc w:val="both"/>
        <w:rPr/>
      </w:pPr>
      <w:r>
        <w:rPr/>
        <w:t xml:space="preserve">               </w:t>
      </w:r>
      <w:r>
        <w:rPr/>
        <w:t>Исполнение – 47,4 %</w:t>
      </w:r>
    </w:p>
    <w:p>
      <w:pPr>
        <w:pStyle w:val="BodyTextIndent"/>
        <w:spacing w:lineRule="auto" w:line="276"/>
        <w:ind w:hanging="0"/>
        <w:jc w:val="both"/>
        <w:rPr/>
      </w:pPr>
      <w:r>
        <w:rPr/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/>
      </w:pPr>
      <w:r>
        <w:rPr/>
        <w:t xml:space="preserve">Всего расходов по данному разделу </w:t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/>
      </w:pPr>
      <w:r>
        <w:rPr/>
        <w:t>при уточненном плане  – 97 007 867,24 руб.</w:t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/>
      </w:pPr>
      <w:r>
        <w:rPr/>
        <w:t xml:space="preserve">                             </w:t>
      </w:r>
      <w:r>
        <w:rPr/>
        <w:t>исполнено – 59  636 246,08 руб.</w:t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/>
      </w:pPr>
      <w:r>
        <w:rPr/>
        <w:t xml:space="preserve">                             </w:t>
      </w:r>
      <w:r>
        <w:rPr/>
        <w:t>исполнение составило  61,5 %</w:t>
      </w:r>
    </w:p>
    <w:p>
      <w:pPr>
        <w:pStyle w:val="BodyTextIndent"/>
        <w:spacing w:lineRule="auto" w:line="276"/>
        <w:ind w:hanging="0"/>
        <w:jc w:val="both"/>
        <w:rPr>
          <w:b/>
          <w:u w:val="single"/>
        </w:rPr>
      </w:pPr>
      <w:r>
        <w:rPr>
          <w:b/>
          <w:u w:val="single"/>
        </w:rPr>
      </w:r>
    </w:p>
    <w:p>
      <w:pPr>
        <w:pStyle w:val="Heading2"/>
        <w:tabs>
          <w:tab w:val="clear" w:pos="708"/>
          <w:tab w:val="left" w:pos="5955" w:leader="none"/>
        </w:tabs>
        <w:spacing w:lineRule="auto" w:line="276"/>
        <w:ind w:hanging="0" w:left="0"/>
        <w:jc w:val="both"/>
        <w:rPr>
          <w:b w:val="false"/>
          <w:bCs w:val="false"/>
          <w:u w:val="none"/>
        </w:rPr>
      </w:pPr>
      <w:r>
        <w:rPr/>
        <w:t>Охрана окружающей среды</w:t>
      </w:r>
      <w:r>
        <w:rPr>
          <w:u w:val="none"/>
        </w:rPr>
        <w:t xml:space="preserve">    </w:t>
      </w:r>
    </w:p>
    <w:p>
      <w:pPr>
        <w:pStyle w:val="Heading2"/>
        <w:tabs>
          <w:tab w:val="clear" w:pos="708"/>
          <w:tab w:val="left" w:pos="5955" w:leader="none"/>
        </w:tabs>
        <w:spacing w:lineRule="auto" w:line="276"/>
        <w:ind w:hanging="0" w:left="0"/>
        <w:jc w:val="both"/>
        <w:rPr>
          <w:b w:val="false"/>
          <w:bCs w:val="false"/>
          <w:u w:val="none"/>
        </w:rPr>
      </w:pPr>
      <w:r>
        <w:rPr>
          <w:b w:val="false"/>
          <w:u w:val="none"/>
        </w:rPr>
        <w:t xml:space="preserve">        </w:t>
      </w:r>
      <w:r>
        <w:rPr>
          <w:b w:val="false"/>
          <w:u w:val="none"/>
        </w:rPr>
        <w:t>По данному разделу предусмотрена разработка проектной документации для рекультивации земельных участков, на которых расположена свалка, при плане —   17 355 541,33 руб., расходов  за девять месяцев 2025 год не производилось.</w:t>
      </w:r>
    </w:p>
    <w:p>
      <w:pPr>
        <w:pStyle w:val="Normal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Indent"/>
        <w:spacing w:lineRule="auto" w:line="276"/>
        <w:ind w:hanging="0"/>
        <w:jc w:val="both"/>
        <w:rPr>
          <w:b/>
          <w:u w:val="single"/>
        </w:rPr>
      </w:pPr>
      <w:r>
        <w:rPr>
          <w:b/>
          <w:u w:val="single"/>
        </w:rPr>
        <w:t>Образование</w:t>
      </w:r>
    </w:p>
    <w:p>
      <w:pPr>
        <w:pStyle w:val="BodyTextIndent"/>
        <w:spacing w:lineRule="auto" w:line="276"/>
        <w:jc w:val="both"/>
        <w:rPr>
          <w:u w:val="single"/>
        </w:rPr>
      </w:pPr>
      <w:r>
        <w:rPr/>
        <w:t> </w:t>
      </w:r>
      <w:r>
        <w:rPr/>
        <w:t>В структуру отрасли входят:</w:t>
      </w:r>
    </w:p>
    <w:p>
      <w:pPr>
        <w:pStyle w:val="BodyTextIndent"/>
        <w:spacing w:lineRule="auto" w:line="276"/>
        <w:ind w:hanging="0"/>
        <w:jc w:val="both"/>
        <w:rPr/>
      </w:pPr>
      <w:r>
        <w:rPr/>
        <w:t xml:space="preserve">1. Дошкольное образование: </w:t>
      </w:r>
    </w:p>
    <w:p>
      <w:pPr>
        <w:pStyle w:val="BodyTextIndent"/>
        <w:ind w:hanging="0"/>
        <w:jc w:val="both"/>
        <w:rPr/>
      </w:pPr>
      <w:r>
        <w:rPr/>
        <w:t xml:space="preserve">        </w:t>
      </w:r>
      <w:r>
        <w:rPr/>
        <w:t>Уточненный план – 236 084 597,59 руб.</w:t>
      </w:r>
    </w:p>
    <w:p>
      <w:pPr>
        <w:pStyle w:val="BodyTextIndent"/>
        <w:spacing w:lineRule="auto" w:line="276"/>
        <w:ind w:firstLine="284"/>
        <w:jc w:val="both"/>
        <w:rPr/>
      </w:pPr>
      <w:r>
        <w:rPr/>
        <w:t xml:space="preserve">     </w:t>
      </w:r>
      <w:r>
        <w:rPr/>
        <w:t>Исполнено – 168 759 996,29 руб.</w:t>
      </w:r>
    </w:p>
    <w:p>
      <w:pPr>
        <w:pStyle w:val="BodyTextIndent"/>
        <w:spacing w:lineRule="auto" w:line="276"/>
        <w:ind w:firstLine="284"/>
        <w:jc w:val="both"/>
        <w:rPr/>
      </w:pPr>
      <w:r>
        <w:rPr/>
        <w:t xml:space="preserve">    </w:t>
      </w:r>
      <w:r>
        <w:rPr/>
        <w:t>Исполнение по расходам составило 71,5 %</w:t>
      </w:r>
    </w:p>
    <w:p>
      <w:pPr>
        <w:pStyle w:val="BodyTextIndent"/>
        <w:spacing w:lineRule="auto" w:line="276"/>
        <w:ind w:hanging="0"/>
        <w:jc w:val="both"/>
        <w:rPr/>
      </w:pPr>
      <w:r>
        <w:rPr/>
        <w:t xml:space="preserve">2. Общее образование: </w:t>
      </w:r>
    </w:p>
    <w:p>
      <w:pPr>
        <w:pStyle w:val="BodyTextIndent"/>
        <w:spacing w:lineRule="auto" w:line="276"/>
        <w:ind w:firstLine="284"/>
        <w:jc w:val="both"/>
        <w:rPr/>
      </w:pPr>
      <w:r>
        <w:rPr/>
        <w:t xml:space="preserve">    </w:t>
      </w:r>
      <w:r>
        <w:rPr/>
        <w:t>Уточненный план – 507 220 825,09 руб.</w:t>
      </w:r>
    </w:p>
    <w:p>
      <w:pPr>
        <w:pStyle w:val="BodyTextIndent"/>
        <w:tabs>
          <w:tab w:val="clear" w:pos="708"/>
          <w:tab w:val="left" w:pos="5475" w:leader="none"/>
        </w:tabs>
        <w:spacing w:lineRule="auto" w:line="276"/>
        <w:ind w:firstLine="284"/>
        <w:jc w:val="both"/>
        <w:rPr/>
      </w:pPr>
      <w:r>
        <w:rPr/>
        <w:t xml:space="preserve">    </w:t>
      </w:r>
      <w:r>
        <w:rPr/>
        <w:t>Исполнено – 393 690 858,73 руб.</w:t>
        <w:tab/>
      </w:r>
    </w:p>
    <w:p>
      <w:pPr>
        <w:pStyle w:val="BodyTextIndent"/>
        <w:spacing w:lineRule="auto" w:line="276"/>
        <w:ind w:firstLine="284"/>
        <w:jc w:val="both"/>
        <w:rPr/>
      </w:pPr>
      <w:r>
        <w:rPr/>
        <w:t xml:space="preserve">    </w:t>
      </w:r>
      <w:r>
        <w:rPr/>
        <w:t>Исполнение по расходам составило 77,6 %</w:t>
      </w:r>
    </w:p>
    <w:p>
      <w:pPr>
        <w:pStyle w:val="BodyTextIndent"/>
        <w:spacing w:lineRule="auto" w:line="276"/>
        <w:ind w:hanging="0"/>
        <w:jc w:val="both"/>
        <w:rPr/>
      </w:pPr>
      <w:r>
        <w:rPr/>
        <w:t xml:space="preserve">3.  Дополнительное образование детей: </w:t>
      </w:r>
    </w:p>
    <w:p>
      <w:pPr>
        <w:pStyle w:val="BodyTextIndent"/>
        <w:ind w:hanging="0"/>
        <w:jc w:val="both"/>
        <w:rPr/>
      </w:pPr>
      <w:r>
        <w:rPr/>
        <w:t xml:space="preserve">        </w:t>
      </w:r>
      <w:r>
        <w:rPr/>
        <w:t>Уточненный план – 97 872 581,85 руб.</w:t>
      </w:r>
    </w:p>
    <w:p>
      <w:pPr>
        <w:pStyle w:val="BodyTextIndent"/>
        <w:spacing w:lineRule="auto" w:line="276"/>
        <w:ind w:firstLine="284"/>
        <w:jc w:val="both"/>
        <w:rPr/>
      </w:pPr>
      <w:r>
        <w:rPr/>
        <w:t xml:space="preserve">     </w:t>
      </w:r>
      <w:r>
        <w:rPr/>
        <w:t>Исполнено – 72 607 407,94 руб.</w:t>
      </w:r>
    </w:p>
    <w:p>
      <w:pPr>
        <w:pStyle w:val="BodyTextIndent"/>
        <w:spacing w:lineRule="auto" w:line="276"/>
        <w:ind w:firstLine="284"/>
        <w:jc w:val="both"/>
        <w:rPr/>
      </w:pPr>
      <w:r>
        <w:rPr/>
        <w:t xml:space="preserve">    </w:t>
      </w:r>
      <w:r>
        <w:rPr/>
        <w:t>Исполнение по расходам  составило 74,2 %</w:t>
      </w:r>
    </w:p>
    <w:p>
      <w:pPr>
        <w:pStyle w:val="BodyTextIndent"/>
        <w:spacing w:lineRule="auto" w:line="276"/>
        <w:ind w:hanging="0"/>
        <w:jc w:val="both"/>
        <w:rPr/>
      </w:pPr>
      <w:r>
        <w:rPr/>
        <w:t xml:space="preserve">4.  Профессиональная подготовка, переподготовка и повышение квалификации: </w:t>
      </w:r>
    </w:p>
    <w:p>
      <w:pPr>
        <w:pStyle w:val="BodyTextIndent"/>
        <w:ind w:hanging="0"/>
        <w:jc w:val="both"/>
        <w:rPr/>
      </w:pPr>
      <w:r>
        <w:rPr/>
        <w:t xml:space="preserve">        </w:t>
      </w:r>
      <w:r>
        <w:rPr/>
        <w:t>Уточненный план – 29 000,00 руб.</w:t>
      </w:r>
    </w:p>
    <w:p>
      <w:pPr>
        <w:pStyle w:val="BodyTextIndent"/>
        <w:spacing w:lineRule="auto" w:line="276"/>
        <w:ind w:firstLine="284"/>
        <w:jc w:val="both"/>
        <w:rPr/>
      </w:pPr>
      <w:r>
        <w:rPr/>
        <w:t xml:space="preserve">     </w:t>
      </w:r>
      <w:r>
        <w:rPr/>
        <w:t>Исполнено – 22 090,41 руб.</w:t>
      </w:r>
    </w:p>
    <w:p>
      <w:pPr>
        <w:pStyle w:val="BodyTextIndent"/>
        <w:spacing w:lineRule="auto" w:line="276"/>
        <w:ind w:firstLine="284"/>
        <w:jc w:val="both"/>
        <w:rPr/>
      </w:pPr>
      <w:r>
        <w:rPr/>
        <w:t xml:space="preserve">    </w:t>
      </w:r>
      <w:r>
        <w:rPr/>
        <w:t>Исполнение по расходам  составило 76,2 %</w:t>
      </w:r>
    </w:p>
    <w:p>
      <w:pPr>
        <w:pStyle w:val="BodyTextIndent"/>
        <w:spacing w:lineRule="auto" w:line="276"/>
        <w:ind w:hanging="0"/>
        <w:jc w:val="both"/>
        <w:rPr/>
      </w:pPr>
      <w:r>
        <w:rPr/>
        <w:t xml:space="preserve">5. Молодежная политика: </w:t>
      </w:r>
    </w:p>
    <w:p>
      <w:pPr>
        <w:pStyle w:val="BodyTextIndent"/>
        <w:ind w:hanging="0"/>
        <w:jc w:val="both"/>
        <w:rPr/>
      </w:pPr>
      <w:r>
        <w:rPr/>
        <w:t xml:space="preserve">      </w:t>
      </w:r>
      <w:r>
        <w:rPr/>
        <w:t>Уточненный план – 2 546 967,12 руб.</w:t>
      </w:r>
    </w:p>
    <w:p>
      <w:pPr>
        <w:pStyle w:val="BodyTextIndent"/>
        <w:spacing w:lineRule="auto" w:line="276"/>
        <w:ind w:hanging="0"/>
        <w:jc w:val="both"/>
        <w:rPr/>
      </w:pPr>
      <w:r>
        <w:rPr/>
        <w:t xml:space="preserve">      </w:t>
      </w:r>
      <w:r>
        <w:rPr/>
        <w:t>Исполнено – 2 448 020,57 руб.</w:t>
      </w:r>
    </w:p>
    <w:p>
      <w:pPr>
        <w:pStyle w:val="BodyTextIndent"/>
        <w:spacing w:lineRule="auto" w:line="276"/>
        <w:ind w:hanging="0"/>
        <w:jc w:val="both"/>
        <w:rPr/>
      </w:pPr>
      <w:r>
        <w:rPr/>
        <w:t xml:space="preserve">      </w:t>
      </w:r>
      <w:r>
        <w:rPr/>
        <w:t>Исполнение  96,1 %</w:t>
      </w:r>
    </w:p>
    <w:p>
      <w:pPr>
        <w:pStyle w:val="BodyTextIndent"/>
        <w:spacing w:lineRule="auto" w:line="276"/>
        <w:ind w:hanging="0"/>
        <w:jc w:val="both"/>
        <w:rPr/>
      </w:pPr>
      <w:r>
        <w:rPr/>
        <w:t xml:space="preserve">6. Другие вопросы в области образования (деятельность ОМС, опеки, централизованной бухгалтерии, РДДМ, летний отдых): </w:t>
      </w:r>
    </w:p>
    <w:p>
      <w:pPr>
        <w:pStyle w:val="BodyTextIndent"/>
        <w:ind w:hanging="0"/>
        <w:jc w:val="both"/>
        <w:rPr/>
      </w:pPr>
      <w:r>
        <w:rPr/>
        <w:t xml:space="preserve">      </w:t>
      </w:r>
      <w:r>
        <w:rPr/>
        <w:t>Уточненный план – 52 400 838,79 руб.</w:t>
      </w:r>
    </w:p>
    <w:p>
      <w:pPr>
        <w:pStyle w:val="BodyTextIndent"/>
        <w:spacing w:lineRule="auto" w:line="276"/>
        <w:ind w:hanging="0"/>
        <w:jc w:val="both"/>
        <w:rPr/>
      </w:pPr>
      <w:r>
        <w:rPr/>
        <w:t xml:space="preserve">      </w:t>
      </w:r>
      <w:r>
        <w:rPr/>
        <w:t>Исполнено – 38 288 339,94 руб.</w:t>
      </w:r>
    </w:p>
    <w:p>
      <w:pPr>
        <w:pStyle w:val="BodyTextIndent"/>
        <w:spacing w:lineRule="auto" w:line="276"/>
        <w:ind w:hanging="0"/>
        <w:jc w:val="both"/>
        <w:rPr/>
      </w:pPr>
      <w:r>
        <w:rPr/>
        <w:t xml:space="preserve">      </w:t>
      </w:r>
      <w:r>
        <w:rPr/>
        <w:t>Исполнение  73,1 %</w:t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/>
      </w:pPr>
      <w:r>
        <w:rPr/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/>
      </w:pPr>
      <w:r>
        <w:rPr/>
        <w:t xml:space="preserve"> </w:t>
      </w:r>
      <w:r>
        <w:rPr/>
        <w:t xml:space="preserve">Всего расходов по отрасли образования проведено </w:t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/>
      </w:pPr>
      <w:r>
        <w:rPr/>
        <w:t>при уточненном плане  – 896 154 810,44  руб.</w:t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/>
      </w:pPr>
      <w:r>
        <w:rPr/>
        <w:t xml:space="preserve">                     </w:t>
      </w:r>
      <w:r>
        <w:rPr/>
        <w:t>исполнено –   675 816 713,78 руб.</w:t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/>
      </w:pPr>
      <w:r>
        <w:rPr/>
        <w:t xml:space="preserve">                     </w:t>
      </w:r>
      <w:r>
        <w:rPr/>
        <w:t>исполнение составило 75,4 %</w:t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/>
      </w:pPr>
      <w:r>
        <w:rPr/>
        <w:t xml:space="preserve">       </w:t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>
          <w:b/>
          <w:u w:val="single"/>
        </w:rPr>
      </w:pPr>
      <w:r>
        <w:rPr>
          <w:b/>
          <w:u w:val="single"/>
        </w:rPr>
        <w:t xml:space="preserve">Культура,  кинематография </w:t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jc w:val="both"/>
        <w:rPr/>
      </w:pPr>
      <w:r>
        <w:rPr/>
        <w:t>В структуру данной отрасли входят:</w:t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/>
      </w:pPr>
      <w:r>
        <w:rPr/>
        <w:t> </w:t>
      </w:r>
      <w:r>
        <w:rPr/>
        <w:t>1. Культура:</w:t>
      </w:r>
    </w:p>
    <w:p>
      <w:pPr>
        <w:pStyle w:val="BodyTextIndent"/>
        <w:spacing w:lineRule="auto" w:line="276"/>
        <w:ind w:hanging="0" w:left="284"/>
        <w:rPr/>
      </w:pPr>
      <w:r>
        <w:rPr/>
        <w:t>Уточненный план – 178 336 223,16  руб.</w:t>
      </w:r>
    </w:p>
    <w:p>
      <w:pPr>
        <w:pStyle w:val="BodyTextIndent"/>
        <w:spacing w:lineRule="auto" w:line="276"/>
        <w:ind w:hanging="0" w:left="284"/>
        <w:rPr/>
      </w:pPr>
      <w:r>
        <w:rPr/>
        <w:t>Исполнено – 129 724 143,54 руб.</w:t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/>
      </w:pPr>
      <w:r>
        <w:rPr/>
        <w:t xml:space="preserve">    </w:t>
      </w:r>
      <w:r>
        <w:rPr/>
        <w:t>Исполнение по расходам составило – 72,7 %</w:t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/>
      </w:pPr>
      <w:r>
        <w:rPr/>
        <w:t xml:space="preserve"> </w:t>
      </w:r>
      <w:r>
        <w:rPr/>
        <w:t>2. Другие вопросы в области культуры, кинематографии (деятельность ОМС, ЦБТО):</w:t>
      </w:r>
    </w:p>
    <w:p>
      <w:pPr>
        <w:pStyle w:val="BodyTextIndent"/>
        <w:spacing w:lineRule="auto" w:line="276"/>
        <w:ind w:hanging="0" w:left="284"/>
        <w:rPr/>
      </w:pPr>
      <w:r>
        <w:rPr/>
        <w:t>Уточненный план –  68 241 600,00 руб.</w:t>
      </w:r>
    </w:p>
    <w:p>
      <w:pPr>
        <w:pStyle w:val="BodyTextIndent"/>
        <w:spacing w:lineRule="auto" w:line="276"/>
        <w:ind w:hanging="0" w:left="284"/>
        <w:rPr/>
      </w:pPr>
      <w:r>
        <w:rPr/>
        <w:t>Исполнено – 51 189 315,80 руб.</w:t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/>
      </w:pPr>
      <w:r>
        <w:rPr/>
        <w:t xml:space="preserve">    </w:t>
      </w:r>
      <w:r>
        <w:rPr/>
        <w:t>Исполнение по расходам составило – 75 %</w:t>
      </w:r>
    </w:p>
    <w:p>
      <w:pPr>
        <w:pStyle w:val="BodyTextIndent"/>
        <w:spacing w:lineRule="auto" w:line="276"/>
        <w:ind w:hanging="0" w:left="720"/>
        <w:rPr/>
      </w:pPr>
      <w:r>
        <w:rPr/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/>
      </w:pPr>
      <w:r>
        <w:rPr/>
        <w:t xml:space="preserve">      </w:t>
      </w:r>
      <w:r>
        <w:rPr/>
        <w:t xml:space="preserve">Всего расходов по отрасли культура проведено </w:t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/>
      </w:pPr>
      <w:r>
        <w:rPr/>
        <w:t>при уточненном плане – 246 577 823,16 руб.</w:t>
      </w:r>
    </w:p>
    <w:p>
      <w:pPr>
        <w:pStyle w:val="BodyTextIndent"/>
        <w:tabs>
          <w:tab w:val="clear" w:pos="708"/>
          <w:tab w:val="left" w:pos="709" w:leader="none"/>
          <w:tab w:val="left" w:pos="851" w:leader="none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/>
      </w:pPr>
      <w:r>
        <w:rPr/>
        <w:t xml:space="preserve">                             </w:t>
      </w:r>
      <w:r>
        <w:rPr/>
        <w:t>факт – 180 913 459,34 руб.</w:t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/>
      </w:pPr>
      <w:r>
        <w:rPr/>
        <w:t xml:space="preserve">                          </w:t>
      </w:r>
      <w:r>
        <w:rPr/>
        <w:t>Исполнение составило – 73,4 %</w:t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/>
      </w:pPr>
      <w:r>
        <w:rPr/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/>
      </w:pPr>
      <w:r>
        <w:rPr/>
        <w:t xml:space="preserve"> </w:t>
      </w:r>
      <w:r>
        <w:rPr>
          <w:b/>
          <w:u w:val="single"/>
        </w:rPr>
        <w:t>Социальная политика</w:t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jc w:val="both"/>
        <w:rPr/>
      </w:pPr>
      <w:r>
        <w:rPr/>
        <w:t>В структуру данной отрасли входят:</w:t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/>
      </w:pPr>
      <w:r>
        <w:rPr/>
        <w:t> </w:t>
      </w:r>
      <w:r>
        <w:rPr/>
        <w:t>1. Пенсионное обеспечение:</w:t>
      </w:r>
    </w:p>
    <w:p>
      <w:pPr>
        <w:pStyle w:val="BodyTextIndent"/>
        <w:spacing w:lineRule="auto" w:line="276"/>
        <w:ind w:hanging="0" w:left="284"/>
        <w:rPr/>
      </w:pPr>
      <w:r>
        <w:rPr/>
        <w:t>Уточненный план – 12 175 000,00 руб.</w:t>
      </w:r>
    </w:p>
    <w:p>
      <w:pPr>
        <w:pStyle w:val="BodyTextIndent"/>
        <w:spacing w:lineRule="auto" w:line="276"/>
        <w:ind w:hanging="0" w:left="284"/>
        <w:rPr/>
      </w:pPr>
      <w:r>
        <w:rPr/>
        <w:t>Исполнено – 9 107 974,64 руб.</w:t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/>
      </w:pPr>
      <w:r>
        <w:rPr/>
        <w:t xml:space="preserve">    </w:t>
      </w:r>
      <w:r>
        <w:rPr/>
        <w:t>Исполнение по расходам составило – 74,8 %</w:t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/>
      </w:pPr>
      <w:r>
        <w:rPr/>
        <w:t xml:space="preserve"> </w:t>
      </w:r>
      <w:r>
        <w:rPr/>
        <w:t>2. Социальное обслуживание населения:</w:t>
      </w:r>
    </w:p>
    <w:p>
      <w:pPr>
        <w:pStyle w:val="BodyTextIndent"/>
        <w:spacing w:lineRule="auto" w:line="276"/>
        <w:ind w:hanging="0" w:left="284"/>
        <w:rPr/>
      </w:pPr>
      <w:r>
        <w:rPr/>
        <w:t>Уточненный план –  102 011 976,00  руб.</w:t>
      </w:r>
    </w:p>
    <w:p>
      <w:pPr>
        <w:pStyle w:val="BodyTextIndent"/>
        <w:spacing w:lineRule="auto" w:line="276"/>
        <w:ind w:hanging="0" w:left="284"/>
        <w:rPr/>
      </w:pPr>
      <w:r>
        <w:rPr/>
        <w:t>Исполнено – 74 100 976,49 руб.</w:t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/>
      </w:pPr>
      <w:r>
        <w:rPr/>
        <w:t xml:space="preserve">    </w:t>
      </w:r>
      <w:r>
        <w:rPr/>
        <w:t>Исполнение по расходам составило – 72,6 %</w:t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/>
      </w:pPr>
      <w:r>
        <w:rPr/>
        <w:t xml:space="preserve"> </w:t>
      </w:r>
      <w:r>
        <w:rPr/>
        <w:t>3. Социальное обеспечение населения:</w:t>
      </w:r>
    </w:p>
    <w:p>
      <w:pPr>
        <w:pStyle w:val="BodyTextIndent"/>
        <w:spacing w:lineRule="auto" w:line="276"/>
        <w:ind w:hanging="0" w:left="284"/>
        <w:rPr/>
      </w:pPr>
      <w:r>
        <w:rPr/>
        <w:t>Уточненный план –  20 166 510,00 руб.</w:t>
      </w:r>
    </w:p>
    <w:p>
      <w:pPr>
        <w:pStyle w:val="BodyTextIndent"/>
        <w:spacing w:lineRule="auto" w:line="276"/>
        <w:ind w:hanging="0" w:left="284"/>
        <w:rPr/>
      </w:pPr>
      <w:r>
        <w:rPr/>
        <w:t>Исполнено –10 724 188,67 руб.</w:t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/>
      </w:pPr>
      <w:r>
        <w:rPr/>
        <w:t xml:space="preserve">    </w:t>
      </w:r>
      <w:r>
        <w:rPr/>
        <w:t>Исполнение по расходам составило – 53,2 %</w:t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/>
      </w:pPr>
      <w:r>
        <w:rPr/>
        <w:t>4. Охрана семьи и детства:</w:t>
      </w:r>
    </w:p>
    <w:p>
      <w:pPr>
        <w:pStyle w:val="BodyTextIndent"/>
        <w:spacing w:lineRule="auto" w:line="276"/>
        <w:ind w:hanging="0" w:left="284"/>
        <w:rPr/>
      </w:pPr>
      <w:r>
        <w:rPr/>
        <w:t>Уточненный план –  159 297 386,76 руб.</w:t>
      </w:r>
    </w:p>
    <w:p>
      <w:pPr>
        <w:pStyle w:val="BodyTextIndent"/>
        <w:spacing w:lineRule="auto" w:line="276"/>
        <w:ind w:hanging="0" w:left="284"/>
        <w:rPr/>
      </w:pPr>
      <w:r>
        <w:rPr/>
        <w:t>Исполнено – 138 401 739,83 руб.</w:t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/>
      </w:pPr>
      <w:r>
        <w:rPr/>
        <w:t xml:space="preserve">    </w:t>
      </w:r>
      <w:r>
        <w:rPr/>
        <w:t>Исполнение по расходам составило – 86,9 %</w:t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/>
      </w:pPr>
      <w:r>
        <w:rPr/>
        <w:t>5. Другие вопросы в области социальной политики (деятельность ОМС, система долговременного ухода за гражданами пожилого возраста):</w:t>
      </w:r>
    </w:p>
    <w:p>
      <w:pPr>
        <w:pStyle w:val="BodyTextIndent"/>
        <w:spacing w:lineRule="auto" w:line="276"/>
        <w:ind w:hanging="0" w:left="284"/>
        <w:rPr/>
      </w:pPr>
      <w:r>
        <w:rPr/>
        <w:t>Уточненный план –  24 561 700,00 руб.</w:t>
      </w:r>
    </w:p>
    <w:p>
      <w:pPr>
        <w:pStyle w:val="BodyTextIndent"/>
        <w:spacing w:lineRule="auto" w:line="276"/>
        <w:ind w:hanging="0" w:left="284"/>
        <w:rPr/>
      </w:pPr>
      <w:r>
        <w:rPr/>
        <w:t>Исполнено – 19 220 996,91  руб.</w:t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/>
      </w:pPr>
      <w:r>
        <w:rPr/>
        <w:t xml:space="preserve">    </w:t>
      </w:r>
      <w:r>
        <w:rPr/>
        <w:t>Исполнение по расходам составило – 78,3 %</w:t>
      </w:r>
    </w:p>
    <w:p>
      <w:pPr>
        <w:pStyle w:val="BodyTextIndent"/>
        <w:tabs>
          <w:tab w:val="clear" w:pos="708"/>
          <w:tab w:val="left" w:pos="426" w:leader="none"/>
          <w:tab w:val="left" w:pos="4111" w:leader="none"/>
          <w:tab w:val="left" w:pos="4253" w:leader="none"/>
        </w:tabs>
        <w:spacing w:lineRule="auto" w:line="276"/>
        <w:ind w:hanging="0"/>
        <w:rPr/>
      </w:pPr>
      <w:r>
        <w:rPr/>
      </w:r>
    </w:p>
    <w:p>
      <w:pPr>
        <w:pStyle w:val="BodyTextIndent"/>
        <w:tabs>
          <w:tab w:val="clear" w:pos="708"/>
          <w:tab w:val="left" w:pos="426" w:leader="none"/>
          <w:tab w:val="left" w:pos="4111" w:leader="none"/>
          <w:tab w:val="left" w:pos="4253" w:leader="none"/>
        </w:tabs>
        <w:spacing w:lineRule="auto" w:line="276"/>
        <w:ind w:hanging="0"/>
        <w:rPr/>
      </w:pPr>
      <w:r>
        <w:rPr/>
        <w:t xml:space="preserve">       </w:t>
      </w:r>
      <w:r>
        <w:rPr/>
        <w:t xml:space="preserve">Всего по отрасли социальной политики проведено расходов </w:t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/>
      </w:pPr>
      <w:r>
        <w:rPr/>
        <w:t xml:space="preserve">                     </w:t>
      </w:r>
      <w:r>
        <w:rPr/>
        <w:t>при  уточненном плане – 318 212 572,76 руб.</w:t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/>
      </w:pPr>
      <w:r>
        <w:rPr/>
        <w:t xml:space="preserve">                     </w:t>
      </w:r>
      <w:r>
        <w:rPr/>
        <w:t>исполнено – 251 555 876,54 руб.</w:t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/>
      </w:pPr>
      <w:r>
        <w:rPr/>
        <w:t xml:space="preserve">                 </w:t>
      </w:r>
      <w:r>
        <w:rPr/>
        <w:t>Исполнение по расходам составило – 79,1 %</w:t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>
          <w:b/>
          <w:u w:val="single"/>
        </w:rPr>
      </w:pPr>
      <w:r>
        <w:rPr>
          <w:b/>
          <w:u w:val="single"/>
        </w:rPr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>
          <w:b/>
          <w:u w:val="single"/>
        </w:rPr>
      </w:pPr>
      <w:r>
        <w:rPr>
          <w:b/>
          <w:u w:val="single"/>
        </w:rPr>
        <w:t>Физическая культура и спорт</w:t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ind w:hanging="0"/>
        <w:rPr/>
      </w:pPr>
      <w:r>
        <w:rPr>
          <w:u w:val="single"/>
        </w:rPr>
        <w:t>Организация и проведение спортивных мероприятий</w:t>
      </w:r>
      <w:r>
        <w:rPr/>
        <w:t xml:space="preserve">: </w:t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ind w:hanging="0"/>
        <w:rPr/>
      </w:pPr>
      <w:r>
        <w:rPr/>
        <w:t xml:space="preserve">       </w:t>
      </w:r>
      <w:r>
        <w:rPr/>
        <w:t>Исполнение по данному разделу составило 46,8 %</w:t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/>
      </w:pPr>
      <w:r>
        <w:rPr/>
        <w:t xml:space="preserve">                  </w:t>
      </w:r>
      <w:r>
        <w:rPr/>
        <w:t>при уточненном плане – 937 500,00 руб.</w:t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/>
      </w:pPr>
      <w:r>
        <w:rPr/>
        <w:t xml:space="preserve">                  </w:t>
      </w:r>
      <w:r>
        <w:rPr/>
        <w:t>исполнено –  439 185,62 руб.</w:t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>
          <w:b/>
          <w:u w:val="single"/>
        </w:rPr>
      </w:pPr>
      <w:r>
        <w:rPr>
          <w:b/>
          <w:u w:val="single"/>
        </w:rPr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>
          <w:b/>
          <w:u w:val="single"/>
        </w:rPr>
      </w:pPr>
      <w:r>
        <w:rPr>
          <w:b/>
          <w:u w:val="single"/>
        </w:rPr>
        <w:t>Средства массовой информации</w:t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ind w:hanging="0"/>
        <w:rPr/>
      </w:pPr>
      <w:r>
        <w:rPr>
          <w:u w:val="single"/>
        </w:rPr>
        <w:t>Редакция</w:t>
      </w:r>
      <w:r>
        <w:rPr/>
        <w:t>:  Исполнение по данному разделу составило 56,4 %</w:t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/>
      </w:pPr>
      <w:r>
        <w:rPr/>
        <w:t xml:space="preserve">                  </w:t>
      </w:r>
      <w:r>
        <w:rPr/>
        <w:t>при уточненном плане – 2 432 441,00 руб.</w:t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/>
      </w:pPr>
      <w:r>
        <w:rPr/>
        <w:t xml:space="preserve">                  </w:t>
      </w:r>
      <w:r>
        <w:rPr/>
        <w:t>исполнено –  1 372 783,05  руб.</w:t>
      </w:r>
    </w:p>
    <w:p>
      <w:pPr>
        <w:pStyle w:val="BodyTextIndent"/>
        <w:tabs>
          <w:tab w:val="clear" w:pos="708"/>
          <w:tab w:val="left" w:pos="426" w:leader="none"/>
          <w:tab w:val="left" w:pos="4111" w:leader="none"/>
          <w:tab w:val="left" w:pos="4253" w:leader="none"/>
        </w:tabs>
        <w:spacing w:lineRule="auto" w:line="276"/>
        <w:ind w:hanging="0"/>
        <w:rPr/>
      </w:pPr>
      <w:r>
        <w:rPr/>
      </w:r>
    </w:p>
    <w:p>
      <w:pPr>
        <w:pStyle w:val="BodyTextIndent"/>
        <w:ind w:hanging="0"/>
        <w:jc w:val="center"/>
        <w:rPr>
          <w:b/>
        </w:rPr>
      </w:pPr>
      <w:r>
        <w:rPr>
          <w:b/>
        </w:rPr>
        <w:t>Информация об исполнении муниципальных программ</w:t>
      </w:r>
    </w:p>
    <w:p>
      <w:pPr>
        <w:pStyle w:val="Normal"/>
        <w:jc w:val="both"/>
        <w:rPr>
          <w:bCs/>
          <w:sz w:val="28"/>
        </w:rPr>
      </w:pPr>
      <w:r>
        <w:rPr>
          <w:bCs/>
          <w:sz w:val="28"/>
        </w:rPr>
        <w:t xml:space="preserve">      </w:t>
      </w:r>
      <w:r>
        <w:rPr>
          <w:bCs/>
          <w:sz w:val="28"/>
        </w:rPr>
        <w:t xml:space="preserve">В 2025 году действуют 18 муниципальных программ, для 16 из них определены объемы и источники финансирования. </w:t>
      </w:r>
    </w:p>
    <w:p>
      <w:pPr>
        <w:pStyle w:val="Normal"/>
        <w:jc w:val="both"/>
        <w:rPr>
          <w:b/>
          <w:bCs/>
          <w:sz w:val="28"/>
        </w:rPr>
      </w:pPr>
      <w:r>
        <w:rPr>
          <w:bCs/>
          <w:sz w:val="28"/>
        </w:rPr>
        <w:t>За девять месяцев 2025 год исполнение по данным программам составило                  1 477 981 495,71 руб. при плане 2 006 975 406,46 руб. или 73,6 %.</w:t>
      </w:r>
      <w:r>
        <w:rPr>
          <w:b/>
          <w:bCs/>
          <w:sz w:val="28"/>
        </w:rPr>
        <w:t xml:space="preserve">    </w:t>
      </w:r>
    </w:p>
    <w:p>
      <w:pPr>
        <w:pStyle w:val="Normal"/>
        <w:jc w:val="both"/>
        <w:rPr>
          <w:bCs/>
          <w:sz w:val="28"/>
          <w:u w:val="single"/>
        </w:rPr>
      </w:pPr>
      <w:r>
        <w:rPr>
          <w:b/>
          <w:bCs/>
          <w:sz w:val="28"/>
        </w:rPr>
        <w:t xml:space="preserve">      </w:t>
      </w:r>
      <w:r>
        <w:rPr>
          <w:bCs/>
          <w:sz w:val="28"/>
        </w:rPr>
        <w:t xml:space="preserve">Отчет о реализации муниципальных программ по видам прилагается.   </w:t>
      </w:r>
      <w:r>
        <w:rPr>
          <w:bCs/>
          <w:sz w:val="28"/>
          <w:u w:val="single"/>
        </w:rPr>
        <w:t xml:space="preserve">   </w:t>
      </w:r>
    </w:p>
    <w:p>
      <w:pPr>
        <w:pStyle w:val="BodyTextIndent"/>
        <w:jc w:val="center"/>
        <w:rPr>
          <w:b/>
        </w:rPr>
      </w:pPr>
      <w:r>
        <w:rPr>
          <w:b/>
        </w:rPr>
      </w:r>
    </w:p>
    <w:p>
      <w:pPr>
        <w:pStyle w:val="Normal"/>
        <w:tabs>
          <w:tab w:val="clear" w:pos="708"/>
          <w:tab w:val="left" w:pos="360" w:leader="none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Информация о состоянии муниципального долга</w:t>
      </w:r>
    </w:p>
    <w:p>
      <w:pPr>
        <w:pStyle w:val="Normal"/>
        <w:ind w:firstLine="700"/>
        <w:jc w:val="both"/>
        <w:rPr>
          <w:color w:val="000000"/>
          <w:sz w:val="28"/>
        </w:rPr>
      </w:pPr>
      <w:r>
        <w:rPr>
          <w:color w:val="000000"/>
          <w:sz w:val="28"/>
        </w:rPr>
        <w:t>Муниципальный долг Тяжинского муниципального округа по состоянию на 01.10.2025 год отсутствует.</w:t>
      </w:r>
    </w:p>
    <w:p>
      <w:pPr>
        <w:pStyle w:val="Heading1"/>
        <w:ind w:hanging="0" w:left="0"/>
        <w:rPr>
          <w:color w:val="auto"/>
        </w:rPr>
      </w:pPr>
      <w:r>
        <w:rPr>
          <w:color w:themeColor="accent1" w:themeShade="bf" w:val="auto"/>
        </w:rPr>
      </w:r>
    </w:p>
    <w:p>
      <w:pPr>
        <w:pStyle w:val="Heading1"/>
        <w:ind w:hanging="0" w:left="0"/>
        <w:rPr>
          <w:color w:val="auto"/>
        </w:rPr>
      </w:pPr>
      <w:r>
        <w:rPr>
          <w:color w:val="auto"/>
        </w:rPr>
        <w:t>Зам. главы Тяжинского муниципального</w:t>
      </w:r>
    </w:p>
    <w:p>
      <w:pPr>
        <w:pStyle w:val="Heading1"/>
        <w:spacing w:before="0" w:after="0"/>
        <w:ind w:hanging="0" w:left="0"/>
        <w:rPr>
          <w:color w:val="auto"/>
        </w:rPr>
      </w:pPr>
      <w:r>
        <w:rPr>
          <w:color w:val="auto"/>
        </w:rPr>
        <w:t>округа по финансам  - начальник управления                               О.В. Батова</w:t>
      </w:r>
    </w:p>
    <w:p>
      <w:pPr>
        <w:pStyle w:val="Normal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134" w:right="567" w:gutter="0" w:header="709" w:top="1134" w:footer="709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Cambria">
    <w:charset w:val="01"/>
    <w:family w:val="roman"/>
    <w:pitch w:val="default"/>
  </w:font>
  <w:font w:name="Tahoma">
    <w:charset w:val="01"/>
    <w:family w:val="swiss"/>
    <w:pitch w:val="default"/>
  </w:font>
  <w:font w:name="Courier New">
    <w:charset w:val="01"/>
    <w:family w:val="auto"/>
    <w:pitch w:val="default"/>
  </w:font>
  <w:font w:name="PT Astra Serif">
    <w:charset w:val="01"/>
    <w:family w:val="roman"/>
    <w:pitch w:val="default"/>
  </w:font>
  <w:font w:name="Verdana">
    <w:charset w:val="01"/>
    <w:family w:val="swiss"/>
    <w:pitch w:val="default"/>
  </w:font>
  <w:font w:name="Arial">
    <w:charset w:val="01"/>
    <w:family w:val="swiss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right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7</w:t>
    </w:r>
    <w:r>
      <w:rPr/>
      <w:fldChar w:fldCharType="end"/>
    </w:r>
  </w:p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right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7</w:t>
    </w:r>
    <w:r>
      <w:rPr/>
      <w:fldChar w:fldCharType="end"/>
    </w:r>
  </w:p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90"/>
  <w:defaultTabStop w:val="708"/>
  <w:autoHyphenation w:val="true"/>
  <w:hyphenationZone w:val="0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ahoma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suppressAutoHyphens w:val="true"/>
      <w:overflowPunct w:val="fals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Heading1">
    <w:name w:val="heading 1"/>
    <w:basedOn w:val="Normal"/>
    <w:next w:val="Normal"/>
    <w:link w:val="1"/>
    <w:qFormat/>
    <w:pPr>
      <w:keepNext w:val="true"/>
      <w:keepLines/>
      <w:spacing w:before="480" w:after="0"/>
      <w:outlineLvl w:val="0"/>
    </w:pPr>
    <w:rPr>
      <w:rFonts w:ascii="Cambria" w:hAnsi="Cambria" w:eastAsia="Calibri" w:cs="Tahoma"/>
      <w:b/>
      <w:bCs/>
      <w:color w:themeColor="accent1" w:themeShade="bf" w:val="365F91"/>
      <w:sz w:val="28"/>
      <w:szCs w:val="28"/>
    </w:rPr>
  </w:style>
  <w:style w:type="paragraph" w:styleId="Heading2">
    <w:name w:val="heading 2"/>
    <w:basedOn w:val="Normal"/>
    <w:next w:val="Normal"/>
    <w:link w:val="2"/>
    <w:qFormat/>
    <w:pPr>
      <w:keepNext w:val="true"/>
      <w:widowControl/>
      <w:outlineLvl w:val="1"/>
    </w:pPr>
    <w:rPr>
      <w:b/>
      <w:bCs/>
      <w:sz w:val="28"/>
      <w:szCs w:val="28"/>
      <w:u w:val="single"/>
    </w:rPr>
  </w:style>
  <w:style w:type="paragraph" w:styleId="Heading3">
    <w:name w:val="heading 3"/>
    <w:basedOn w:val="Normal"/>
    <w:next w:val="Normal"/>
    <w:link w:val="31"/>
    <w:qFormat/>
    <w:pPr>
      <w:keepNext w:val="true"/>
      <w:widowControl/>
      <w:tabs>
        <w:tab w:val="clear" w:pos="708"/>
        <w:tab w:val="left" w:pos="2850" w:leader="none"/>
      </w:tabs>
      <w:outlineLvl w:val="2"/>
    </w:pPr>
    <w:rPr>
      <w:sz w:val="28"/>
      <w:szCs w:val="24"/>
    </w:rPr>
  </w:style>
  <w:style w:type="paragraph" w:styleId="Heading4">
    <w:name w:val="heading 4"/>
    <w:basedOn w:val="Normal"/>
    <w:next w:val="Normal"/>
    <w:link w:val="4"/>
    <w:qFormat/>
    <w:pPr>
      <w:keepNext w:val="true"/>
      <w:widowControl/>
      <w:jc w:val="right"/>
      <w:outlineLvl w:val="3"/>
    </w:pPr>
    <w:rPr>
      <w:sz w:val="28"/>
      <w:szCs w:val="24"/>
    </w:rPr>
  </w:style>
  <w:style w:type="character" w:styleId="DefaultParagraphFont">
    <w:name w:val="Default Paragraph Font"/>
    <w:qFormat/>
    <w:rPr/>
  </w:style>
  <w:style w:type="character" w:styleId="2">
    <w:name w:val="Заголовок 2 Знак"/>
    <w:basedOn w:val="DefaultParagraphFont"/>
    <w:qFormat/>
    <w:rPr>
      <w:rFonts w:ascii="Times New Roman" w:hAnsi="Times New Roman" w:eastAsia="Times New Roman" w:cs="Times New Roman"/>
      <w:b/>
      <w:bCs/>
      <w:sz w:val="28"/>
      <w:szCs w:val="28"/>
      <w:u w:val="single"/>
      <w:lang w:eastAsia="ru-RU"/>
    </w:rPr>
  </w:style>
  <w:style w:type="character" w:styleId="Style10">
    <w:name w:val="Основной текст с отступом Знак"/>
    <w:basedOn w:val="DefaultParagraphFont"/>
    <w:qFormat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Style11">
    <w:name w:val="Текст выноски Знак"/>
    <w:basedOn w:val="DefaultParagraphFont"/>
    <w:link w:val="BalloonText"/>
    <w:qFormat/>
    <w:rPr>
      <w:rFonts w:ascii="Tahoma" w:hAnsi="Tahoma" w:eastAsia="Times New Roman" w:cs="Tahoma"/>
      <w:sz w:val="16"/>
      <w:szCs w:val="16"/>
      <w:lang w:eastAsia="ru-RU"/>
    </w:rPr>
  </w:style>
  <w:style w:type="character" w:styleId="1">
    <w:name w:val="Заголовок 1 Знак"/>
    <w:basedOn w:val="DefaultParagraphFont"/>
    <w:qFormat/>
    <w:rPr>
      <w:rFonts w:ascii="Cambria" w:hAnsi="Cambria" w:eastAsia="Calibri" w:cs="Tahoma"/>
      <w:b/>
      <w:bCs/>
      <w:color w:themeColor="accent1" w:themeShade="bf" w:val="365F91"/>
      <w:sz w:val="28"/>
      <w:szCs w:val="28"/>
      <w:lang w:eastAsia="ru-RU"/>
    </w:rPr>
  </w:style>
  <w:style w:type="character" w:styleId="Style12">
    <w:name w:val="Название Знак"/>
    <w:basedOn w:val="DefaultParagraphFont"/>
    <w:qFormat/>
    <w:rPr>
      <w:rFonts w:ascii="Times New Roman" w:hAnsi="Times New Roman" w:eastAsia="Times New Roman" w:cs="Times New Roman"/>
      <w:b/>
      <w:bCs/>
      <w:sz w:val="28"/>
      <w:szCs w:val="20"/>
      <w:lang w:eastAsia="ru-RU"/>
    </w:rPr>
  </w:style>
  <w:style w:type="character" w:styleId="3">
    <w:name w:val="Основной текст с отступом 3 Знак"/>
    <w:basedOn w:val="DefaultParagraphFont"/>
    <w:link w:val="BodyTextIndent3"/>
    <w:qFormat/>
    <w:rPr>
      <w:rFonts w:ascii="Times New Roman" w:hAnsi="Times New Roman" w:eastAsia="Times New Roman" w:cs="Times New Roman"/>
      <w:sz w:val="16"/>
      <w:szCs w:val="16"/>
      <w:lang w:eastAsia="ru-RU"/>
    </w:rPr>
  </w:style>
  <w:style w:type="character" w:styleId="21">
    <w:name w:val="Основной текст с отступом 2 Знак"/>
    <w:basedOn w:val="DefaultParagraphFont"/>
    <w:link w:val="BodyTextIndent2"/>
    <w:qFormat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3">
    <w:name w:val="Верхний колонтитул Знак"/>
    <w:basedOn w:val="DefaultParagraphFont"/>
    <w:qFormat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4">
    <w:name w:val="Нижний колонтитул Знак"/>
    <w:basedOn w:val="DefaultParagraphFont"/>
    <w:qFormat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31">
    <w:name w:val="Заголовок 3 Знак"/>
    <w:basedOn w:val="DefaultParagraphFont"/>
    <w:qFormat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4">
    <w:name w:val="Заголовок 4 Знак"/>
    <w:basedOn w:val="DefaultParagraphFont"/>
    <w:qFormat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22">
    <w:name w:val="Основной текст 2 Знак"/>
    <w:basedOn w:val="DefaultParagraphFont"/>
    <w:link w:val="BodyText2"/>
    <w:qFormat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5">
    <w:name w:val="Основной текст Знак"/>
    <w:basedOn w:val="DefaultParagraphFont"/>
    <w:qFormat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PageNumber">
    <w:name w:val="page number"/>
    <w:basedOn w:val="DefaultParagraphFont"/>
    <w:rPr/>
  </w:style>
  <w:style w:type="character" w:styleId="Style16">
    <w:name w:val="Подзаголовок Знак"/>
    <w:basedOn w:val="DefaultParagraphFont"/>
    <w:qFormat/>
    <w:rPr>
      <w:rFonts w:ascii="Times New Roman" w:hAnsi="Times New Roman" w:eastAsia="Times New Roman" w:cs="Times New Roman"/>
      <w:sz w:val="28"/>
      <w:szCs w:val="24"/>
      <w:u w:val="single"/>
      <w:lang w:eastAsia="ru-RU"/>
    </w:rPr>
  </w:style>
  <w:style w:type="character" w:styleId="Hyperlink">
    <w:name w:val="Hyperlink"/>
    <w:rPr>
      <w:color w:val="0000FF"/>
      <w:u w:val="single"/>
    </w:rPr>
  </w:style>
  <w:style w:type="character" w:styleId="Style17">
    <w:name w:val="Текст Знак"/>
    <w:basedOn w:val="DefaultParagraphFont"/>
    <w:link w:val="PlainText"/>
    <w:qFormat/>
    <w:rPr>
      <w:rFonts w:ascii="Courier New" w:hAnsi="Courier New" w:eastAsia="Times New Roman" w:cs="Times New Roman"/>
      <w:sz w:val="20"/>
      <w:szCs w:val="20"/>
      <w:lang w:eastAsia="ru-RU"/>
    </w:rPr>
  </w:style>
  <w:style w:type="paragraph" w:styleId="Style18">
    <w:name w:val="Заголовок"/>
    <w:basedOn w:val="Normal"/>
    <w:next w:val="BodyText"/>
    <w:qFormat/>
    <w:pPr>
      <w:keepNext w:val="true"/>
      <w:spacing w:before="240" w:after="120"/>
    </w:pPr>
    <w:rPr>
      <w:rFonts w:ascii="PT Astra Serif" w:hAnsi="PT Astra Serif" w:eastAsia="Noto Sans CJK SC" w:cs="FreeSans"/>
      <w:sz w:val="28"/>
      <w:szCs w:val="28"/>
    </w:rPr>
  </w:style>
  <w:style w:type="paragraph" w:styleId="BodyText">
    <w:name w:val="Body Text"/>
    <w:basedOn w:val="Normal"/>
    <w:link w:val="Style15"/>
    <w:pPr>
      <w:widowControl/>
      <w:spacing w:before="0" w:after="120"/>
    </w:pPr>
    <w:rPr>
      <w:sz w:val="24"/>
      <w:szCs w:val="24"/>
    </w:rPr>
  </w:style>
  <w:style w:type="paragraph" w:styleId="List">
    <w:name w:val="List"/>
    <w:basedOn w:val="BodyText"/>
    <w:pPr/>
    <w:rPr>
      <w:rFonts w:ascii="PT Astra Serif" w:hAnsi="PT Astra Serif"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Free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PT Astra Serif" w:hAnsi="PT Astra Serif" w:cs="FreeSans"/>
    </w:rPr>
  </w:style>
  <w:style w:type="paragraph" w:styleId="BodyTextIndent">
    <w:name w:val="Body Text Indent"/>
    <w:basedOn w:val="Normal"/>
    <w:link w:val="Style10"/>
    <w:pPr>
      <w:widowControl/>
      <w:ind w:firstLine="720"/>
    </w:pPr>
    <w:rPr>
      <w:sz w:val="28"/>
      <w:szCs w:val="24"/>
    </w:rPr>
  </w:style>
  <w:style w:type="paragraph" w:styleId="Style20">
    <w:name w:val="Знак"/>
    <w:basedOn w:val="Normal"/>
    <w:qFormat/>
    <w:pPr>
      <w:spacing w:lineRule="exact" w:line="240" w:before="0" w:after="160"/>
      <w:jc w:val="right"/>
    </w:pPr>
    <w:rPr>
      <w:lang w:val="en-GB" w:eastAsia="en-US"/>
    </w:rPr>
  </w:style>
  <w:style w:type="paragraph" w:styleId="BalloonText">
    <w:name w:val="Balloon Text"/>
    <w:basedOn w:val="Normal"/>
    <w:link w:val="Style11"/>
    <w:qFormat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pPr>
      <w:widowControl/>
      <w:spacing w:before="0" w:after="0"/>
      <w:ind w:left="720"/>
      <w:contextualSpacing/>
    </w:pPr>
    <w:rPr>
      <w:sz w:val="24"/>
      <w:szCs w:val="24"/>
    </w:rPr>
  </w:style>
  <w:style w:type="paragraph" w:styleId="Title">
    <w:name w:val="Title"/>
    <w:basedOn w:val="Normal"/>
    <w:link w:val="Style12"/>
    <w:qFormat/>
    <w:pPr>
      <w:widowControl/>
      <w:jc w:val="center"/>
    </w:pPr>
    <w:rPr>
      <w:b/>
      <w:bCs/>
      <w:sz w:val="28"/>
    </w:rPr>
  </w:style>
  <w:style w:type="paragraph" w:styleId="Style21">
    <w:name w:val="Знак Знак Знак Знак Знак Знак Знак"/>
    <w:basedOn w:val="Normal"/>
    <w:qFormat/>
    <w:pPr>
      <w:spacing w:lineRule="exact" w:line="240" w:before="0" w:after="160"/>
      <w:jc w:val="right"/>
    </w:pPr>
    <w:rPr>
      <w:lang w:val="en-GB" w:eastAsia="en-US"/>
    </w:rPr>
  </w:style>
  <w:style w:type="paragraph" w:styleId="BodyTextIndent3">
    <w:name w:val="Body Text Indent 3"/>
    <w:basedOn w:val="Normal"/>
    <w:link w:val="3"/>
    <w:qFormat/>
    <w:pPr>
      <w:widowControl/>
      <w:spacing w:before="0" w:after="120"/>
      <w:ind w:left="283"/>
    </w:pPr>
    <w:rPr>
      <w:sz w:val="16"/>
      <w:szCs w:val="16"/>
    </w:rPr>
  </w:style>
  <w:style w:type="paragraph" w:styleId="BodyTextIndent2">
    <w:name w:val="Body Text Indent 2"/>
    <w:basedOn w:val="Normal"/>
    <w:link w:val="21"/>
    <w:qFormat/>
    <w:pPr>
      <w:spacing w:lineRule="auto" w:line="480" w:before="0" w:after="120"/>
      <w:ind w:left="283"/>
    </w:pPr>
    <w:rPr/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Style13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4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odyText2">
    <w:name w:val="Body Text 2"/>
    <w:basedOn w:val="Normal"/>
    <w:link w:val="22"/>
    <w:qFormat/>
    <w:pPr>
      <w:widowControl/>
      <w:spacing w:lineRule="auto" w:line="480" w:before="0" w:after="120"/>
    </w:pPr>
    <w:rPr>
      <w:sz w:val="24"/>
      <w:szCs w:val="24"/>
    </w:rPr>
  </w:style>
  <w:style w:type="paragraph" w:styleId="Subtitle">
    <w:name w:val="Subtitle"/>
    <w:basedOn w:val="Normal"/>
    <w:link w:val="Style16"/>
    <w:qFormat/>
    <w:pPr>
      <w:widowControl/>
      <w:jc w:val="center"/>
    </w:pPr>
    <w:rPr>
      <w:sz w:val="28"/>
      <w:szCs w:val="24"/>
      <w:u w:val="single"/>
    </w:rPr>
  </w:style>
  <w:style w:type="paragraph" w:styleId="PlainText">
    <w:name w:val="Plain Text"/>
    <w:basedOn w:val="Normal"/>
    <w:link w:val="Style17"/>
    <w:qFormat/>
    <w:pPr>
      <w:widowControl/>
    </w:pPr>
    <w:rPr>
      <w:rFonts w:ascii="Courier New" w:hAnsi="Courier New"/>
    </w:rPr>
  </w:style>
  <w:style w:type="paragraph" w:styleId="Style22">
    <w:name w:val="Знак Знак Знак Знак"/>
    <w:basedOn w:val="Normal"/>
    <w:qFormat/>
    <w:pPr>
      <w:widowControl/>
      <w:spacing w:lineRule="exact" w:line="240" w:before="0" w:after="160"/>
    </w:pPr>
    <w:rPr>
      <w:rFonts w:ascii="Verdana" w:hAnsi="Verdana"/>
      <w:lang w:val="en-US" w:eastAsia="en-US"/>
    </w:rPr>
  </w:style>
  <w:style w:type="paragraph" w:styleId="ConsPlusNormal">
    <w:name w:val="ConsPlusNormal"/>
    <w:qFormat/>
    <w:pPr>
      <w:widowControl w:val="false"/>
      <w:suppressAutoHyphens w:val="true"/>
      <w:overflowPunct w:val="false"/>
      <w:bidi w:val="0"/>
      <w:spacing w:lineRule="auto" w:line="240"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Style23">
    <w:name w:val="Содержимое таблицы"/>
    <w:basedOn w:val="Normal"/>
    <w:qFormat/>
    <w:pPr>
      <w:widowControl w:val="false"/>
      <w:suppressLineNumbers/>
    </w:pPr>
    <w:rPr/>
  </w:style>
  <w:style w:type="numbering" w:styleId="Style24">
    <w:name w:val="Без списка"/>
    <w:qFormat/>
  </w:style>
  <w:style w:type="numbering" w:styleId="11">
    <w:name w:val="Нет списка1"/>
    <w:qFormat/>
  </w:style>
  <w:style w:type="numbering" w:styleId="23">
    <w:name w:val="Нет списка2"/>
    <w:qFormat/>
  </w:style>
  <w:style w:type="numbering" w:styleId="32">
    <w:name w:val="Нет списка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7271</TotalTime>
  <Application>LibreOffice/24.8.4.2$Linux_X86_64 LibreOffice_project/480$Build-2</Application>
  <AppVersion>15.0000</AppVersion>
  <Pages>7</Pages>
  <Words>1672</Words>
  <Characters>9517</Characters>
  <CharactersWithSpaces>12058</CharactersWithSpaces>
  <Paragraphs>253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2019-04-23T04:33:00Z</dcterms:created>
  <dc:creator>Специалист 1. бюджетного отдела</dc:creator>
  <dc:description/>
  <dc:language>ru-RU</dc:language>
  <cp:lastModifiedBy/>
  <cp:lastPrinted>2025-10-03T14:03:55Z</cp:lastPrinted>
  <dcterms:modified xsi:type="dcterms:W3CDTF">2025-10-08T10:39:30Z</dcterms:modified>
  <cp:revision>291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